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1065E" w14:textId="77777777" w:rsidR="00CE36C6" w:rsidRPr="00B063B8" w:rsidRDefault="00CE36C6" w:rsidP="00CE36C6">
      <w:pPr>
        <w:spacing w:after="120" w:line="360" w:lineRule="auto"/>
        <w:rPr>
          <w:rFonts w:ascii="Source Sans Pro" w:hAnsi="Source Sans Pro"/>
          <w:b/>
          <w:bCs/>
          <w:sz w:val="22"/>
        </w:rPr>
      </w:pPr>
      <w:r>
        <w:rPr>
          <w:rFonts w:ascii="Source Sans Pro" w:hAnsi="Source Sans Pro"/>
          <w:b/>
          <w:bCs/>
          <w:sz w:val="22"/>
        </w:rPr>
        <w:t xml:space="preserve">Nurton Developments Limited </w:t>
      </w:r>
    </w:p>
    <w:p w14:paraId="3A4E4B78" w14:textId="77777777" w:rsidR="00CE36C6" w:rsidRPr="00F66B32" w:rsidRDefault="00CE36C6" w:rsidP="00CE36C6">
      <w:pPr>
        <w:spacing w:after="120" w:line="360" w:lineRule="auto"/>
        <w:rPr>
          <w:rFonts w:ascii="Source Sans Pro" w:hAnsi="Source Sans Pro"/>
          <w:b/>
          <w:bCs/>
          <w:sz w:val="22"/>
        </w:rPr>
      </w:pPr>
      <w:r w:rsidRPr="00F66B32">
        <w:rPr>
          <w:rFonts w:ascii="Source Sans Pro" w:hAnsi="Source Sans Pro"/>
          <w:b/>
          <w:bCs/>
          <w:sz w:val="22"/>
        </w:rPr>
        <w:t xml:space="preserve">Land </w:t>
      </w:r>
      <w:r>
        <w:rPr>
          <w:rFonts w:ascii="Source Sans Pro" w:hAnsi="Source Sans Pro"/>
          <w:b/>
          <w:bCs/>
          <w:sz w:val="22"/>
        </w:rPr>
        <w:t xml:space="preserve">at Junction 11, M6, Hilton Park </w:t>
      </w:r>
    </w:p>
    <w:p w14:paraId="68B2163B" w14:textId="77777777" w:rsidR="00CE36C6" w:rsidRDefault="00CE36C6" w:rsidP="00CE36C6">
      <w:pPr>
        <w:spacing w:after="120" w:line="360" w:lineRule="auto"/>
        <w:rPr>
          <w:rFonts w:ascii="Source Sans Pro" w:hAnsi="Source Sans Pro"/>
          <w:b/>
          <w:bCs/>
          <w:sz w:val="22"/>
        </w:rPr>
      </w:pPr>
      <w:r>
        <w:rPr>
          <w:rFonts w:ascii="Source Sans Pro" w:hAnsi="Source Sans Pro"/>
          <w:b/>
          <w:bCs/>
          <w:sz w:val="22"/>
        </w:rPr>
        <w:t xml:space="preserve">Representations to South Staffordshire </w:t>
      </w:r>
      <w:r w:rsidRPr="00F66B32">
        <w:rPr>
          <w:rFonts w:ascii="Source Sans Pro" w:hAnsi="Source Sans Pro"/>
          <w:b/>
          <w:bCs/>
          <w:sz w:val="22"/>
        </w:rPr>
        <w:t xml:space="preserve">Local Plan </w:t>
      </w:r>
      <w:r>
        <w:rPr>
          <w:rFonts w:ascii="Source Sans Pro" w:hAnsi="Source Sans Pro"/>
          <w:b/>
          <w:bCs/>
          <w:sz w:val="22"/>
        </w:rPr>
        <w:t xml:space="preserve">Pre-Submission Draft (Regulation 19) </w:t>
      </w:r>
    </w:p>
    <w:p w14:paraId="130BB4E5" w14:textId="77777777" w:rsidR="00CE36C6" w:rsidRDefault="00CE36C6" w:rsidP="00CE36C6">
      <w:pPr>
        <w:spacing w:after="120" w:line="360" w:lineRule="auto"/>
        <w:rPr>
          <w:rFonts w:ascii="Source Sans Pro" w:hAnsi="Source Sans Pro"/>
          <w:b/>
          <w:bCs/>
          <w:sz w:val="22"/>
        </w:rPr>
      </w:pPr>
      <w:r>
        <w:rPr>
          <w:rFonts w:ascii="Source Sans Pro" w:hAnsi="Source Sans Pro"/>
          <w:b/>
          <w:bCs/>
          <w:sz w:val="22"/>
        </w:rPr>
        <w:t xml:space="preserve">Paragraphs 5.54 to 5.64 </w:t>
      </w:r>
    </w:p>
    <w:p w14:paraId="43277867" w14:textId="77777777" w:rsidR="00CE36C6" w:rsidRDefault="00CE36C6" w:rsidP="00CE36C6">
      <w:pPr>
        <w:spacing w:after="120" w:line="360" w:lineRule="auto"/>
        <w:rPr>
          <w:rFonts w:ascii="Source Sans Pro" w:hAnsi="Source Sans Pro"/>
          <w:b/>
          <w:bCs/>
          <w:sz w:val="22"/>
        </w:rPr>
      </w:pPr>
      <w:r>
        <w:rPr>
          <w:rFonts w:ascii="Source Sans Pro" w:hAnsi="Source Sans Pro"/>
          <w:b/>
          <w:bCs/>
          <w:sz w:val="22"/>
        </w:rPr>
        <w:t xml:space="preserve">Policy DS4: Development Needs </w:t>
      </w:r>
    </w:p>
    <w:p w14:paraId="5C42DEA2" w14:textId="77777777" w:rsidR="00CE36C6" w:rsidRPr="00F66B32" w:rsidRDefault="00CE36C6" w:rsidP="00CE36C6">
      <w:pPr>
        <w:spacing w:after="120" w:line="360" w:lineRule="auto"/>
        <w:rPr>
          <w:rFonts w:ascii="Source Sans Pro" w:hAnsi="Source Sans Pro"/>
          <w:b/>
          <w:bCs/>
          <w:sz w:val="22"/>
        </w:rPr>
      </w:pPr>
    </w:p>
    <w:p w14:paraId="0C63D72E" w14:textId="1DE6BAB8" w:rsidR="00CE36C6" w:rsidRDefault="00256555" w:rsidP="00CE36C6">
      <w:pPr>
        <w:spacing w:after="120" w:line="360" w:lineRule="auto"/>
        <w:rPr>
          <w:rFonts w:ascii="Source Sans Pro" w:hAnsi="Source Sans Pro"/>
          <w:b/>
          <w:bCs/>
          <w:sz w:val="22"/>
        </w:rPr>
      </w:pPr>
      <w:r>
        <w:rPr>
          <w:rFonts w:ascii="Source Sans Pro" w:hAnsi="Source Sans Pro"/>
          <w:b/>
          <w:bCs/>
          <w:sz w:val="22"/>
        </w:rPr>
        <w:t xml:space="preserve">Box 5 - </w:t>
      </w:r>
      <w:r w:rsidR="00CE36C6">
        <w:rPr>
          <w:rFonts w:ascii="Source Sans Pro" w:hAnsi="Source Sans Pro"/>
          <w:b/>
          <w:bCs/>
          <w:sz w:val="22"/>
        </w:rPr>
        <w:t xml:space="preserve">Reasons for Unsoundness </w:t>
      </w:r>
    </w:p>
    <w:p w14:paraId="6D42A985" w14:textId="296FE06F" w:rsidR="00CE36C6" w:rsidRPr="00123A81" w:rsidRDefault="00256555" w:rsidP="00CE36C6">
      <w:pPr>
        <w:spacing w:after="120" w:line="360" w:lineRule="auto"/>
        <w:rPr>
          <w:rFonts w:ascii="Source Sans Pro" w:hAnsi="Source Sans Pro"/>
          <w:b/>
          <w:bCs/>
          <w:i/>
          <w:iCs/>
          <w:sz w:val="22"/>
        </w:rPr>
      </w:pPr>
      <w:r>
        <w:rPr>
          <w:rFonts w:ascii="Source Sans Pro" w:hAnsi="Source Sans Pro"/>
          <w:b/>
          <w:bCs/>
          <w:i/>
          <w:iCs/>
          <w:sz w:val="22"/>
        </w:rPr>
        <w:t xml:space="preserve">                </w:t>
      </w:r>
      <w:r w:rsidR="00CE36C6" w:rsidRPr="00123A81">
        <w:rPr>
          <w:rFonts w:ascii="Source Sans Pro" w:hAnsi="Source Sans Pro"/>
          <w:b/>
          <w:bCs/>
          <w:i/>
          <w:iCs/>
          <w:sz w:val="22"/>
        </w:rPr>
        <w:t xml:space="preserve">Summary </w:t>
      </w:r>
    </w:p>
    <w:p w14:paraId="316E3ACB" w14:textId="738FE31F" w:rsidR="00CE36C6" w:rsidRDefault="00CE36C6" w:rsidP="00CE36C6">
      <w:pPr>
        <w:pStyle w:val="ListParagraph"/>
        <w:numPr>
          <w:ilvl w:val="0"/>
          <w:numId w:val="39"/>
        </w:numPr>
        <w:ind w:hanging="720"/>
        <w:contextualSpacing w:val="0"/>
        <w:jc w:val="both"/>
        <w:rPr>
          <w:rFonts w:ascii="Source Sans Pro" w:hAnsi="Source Sans Pro"/>
          <w:sz w:val="22"/>
        </w:rPr>
      </w:pPr>
      <w:r w:rsidRPr="00123A81">
        <w:rPr>
          <w:rFonts w:ascii="Source Sans Pro" w:hAnsi="Source Sans Pro"/>
          <w:sz w:val="22"/>
        </w:rPr>
        <w:t xml:space="preserve">The assessment of the need and supply of employment land </w:t>
      </w:r>
      <w:r w:rsidR="00C42C0C">
        <w:rPr>
          <w:rFonts w:ascii="Source Sans Pro" w:hAnsi="Source Sans Pro"/>
          <w:sz w:val="22"/>
        </w:rPr>
        <w:t xml:space="preserve">in South Staffordshire </w:t>
      </w:r>
      <w:r w:rsidRPr="00123A81">
        <w:rPr>
          <w:rFonts w:ascii="Source Sans Pro" w:hAnsi="Source Sans Pro"/>
          <w:sz w:val="22"/>
        </w:rPr>
        <w:t>is deeply flawed.  This is for the following reasons:</w:t>
      </w:r>
      <w:r w:rsidR="008A06C7">
        <w:rPr>
          <w:rFonts w:ascii="Source Sans Pro" w:hAnsi="Source Sans Pro"/>
          <w:sz w:val="22"/>
        </w:rPr>
        <w:t xml:space="preserve"> </w:t>
      </w:r>
      <w:r w:rsidRPr="00123A81">
        <w:rPr>
          <w:rFonts w:ascii="Source Sans Pro" w:hAnsi="Source Sans Pro"/>
          <w:sz w:val="22"/>
        </w:rPr>
        <w:t>-</w:t>
      </w:r>
    </w:p>
    <w:p w14:paraId="6CD251BD" w14:textId="77777777" w:rsidR="00CE36C6" w:rsidRPr="00123A81" w:rsidRDefault="00CE36C6" w:rsidP="00CE36C6">
      <w:pPr>
        <w:pStyle w:val="ListParagraph"/>
        <w:contextualSpacing w:val="0"/>
        <w:jc w:val="both"/>
        <w:rPr>
          <w:rFonts w:ascii="Source Sans Pro" w:hAnsi="Source Sans Pro"/>
          <w:sz w:val="22"/>
        </w:rPr>
      </w:pPr>
    </w:p>
    <w:p w14:paraId="5B96B140" w14:textId="11D6351E" w:rsidR="00CE36C6" w:rsidRPr="00123A81" w:rsidRDefault="00CE36C6" w:rsidP="00CE36C6">
      <w:pPr>
        <w:pStyle w:val="ListParagraph"/>
        <w:numPr>
          <w:ilvl w:val="0"/>
          <w:numId w:val="44"/>
        </w:numPr>
        <w:spacing w:after="240"/>
        <w:contextualSpacing w:val="0"/>
        <w:jc w:val="both"/>
        <w:rPr>
          <w:rFonts w:ascii="Source Sans Pro" w:hAnsi="Source Sans Pro"/>
          <w:sz w:val="22"/>
        </w:rPr>
      </w:pPr>
      <w:r>
        <w:t>T</w:t>
      </w:r>
      <w:r w:rsidRPr="006E0D06">
        <w:t xml:space="preserve">he </w:t>
      </w:r>
      <w:r w:rsidRPr="00087C7F">
        <w:rPr>
          <w:rFonts w:ascii="Source Sans Pro" w:hAnsi="Source Sans Pro"/>
          <w:sz w:val="22"/>
        </w:rPr>
        <w:t>assessment of local</w:t>
      </w:r>
      <w:r w:rsidRPr="00123A81">
        <w:rPr>
          <w:rFonts w:ascii="Source Sans Pro" w:hAnsi="Source Sans Pro"/>
          <w:sz w:val="22"/>
        </w:rPr>
        <w:t xml:space="preserve"> need is purposefully and significantly understated and</w:t>
      </w:r>
      <w:r w:rsidR="00EA4156">
        <w:rPr>
          <w:rFonts w:ascii="Source Sans Pro" w:hAnsi="Source Sans Pro"/>
          <w:sz w:val="22"/>
        </w:rPr>
        <w:t>,</w:t>
      </w:r>
      <w:r w:rsidRPr="00123A81">
        <w:rPr>
          <w:rFonts w:ascii="Source Sans Pro" w:hAnsi="Source Sans Pro"/>
          <w:sz w:val="22"/>
        </w:rPr>
        <w:t xml:space="preserve"> </w:t>
      </w:r>
      <w:r w:rsidR="00061C24">
        <w:rPr>
          <w:rFonts w:ascii="Source Sans Pro" w:hAnsi="Source Sans Pro"/>
          <w:sz w:val="22"/>
        </w:rPr>
        <w:t xml:space="preserve">if it founds the basis of the plan, then it </w:t>
      </w:r>
      <w:r w:rsidRPr="00123A81">
        <w:rPr>
          <w:rFonts w:ascii="Source Sans Pro" w:hAnsi="Source Sans Pro"/>
          <w:sz w:val="22"/>
        </w:rPr>
        <w:t xml:space="preserve">will result in a significant reduction in the </w:t>
      </w:r>
      <w:r w:rsidR="00061C24">
        <w:rPr>
          <w:rFonts w:ascii="Source Sans Pro" w:hAnsi="Source Sans Pro"/>
          <w:sz w:val="22"/>
        </w:rPr>
        <w:t xml:space="preserve">recent </w:t>
      </w:r>
      <w:r w:rsidRPr="00123A81">
        <w:rPr>
          <w:rFonts w:ascii="Source Sans Pro" w:hAnsi="Source Sans Pro"/>
          <w:sz w:val="22"/>
        </w:rPr>
        <w:t>pace of development of industrial and warehouse premises in the district</w:t>
      </w:r>
      <w:r w:rsidR="00C42C0C">
        <w:rPr>
          <w:rFonts w:ascii="Source Sans Pro" w:hAnsi="Source Sans Pro"/>
          <w:sz w:val="22"/>
        </w:rPr>
        <w:t>, with a consequent negative impact on the future economic growth of the area</w:t>
      </w:r>
    </w:p>
    <w:p w14:paraId="3F1ACC2D" w14:textId="2D5B62EA" w:rsidR="00CE36C6" w:rsidRPr="00123A81" w:rsidRDefault="00CE36C6" w:rsidP="00CE36C6">
      <w:pPr>
        <w:pStyle w:val="ListParagraph"/>
        <w:numPr>
          <w:ilvl w:val="0"/>
          <w:numId w:val="44"/>
        </w:numPr>
        <w:spacing w:after="240"/>
        <w:contextualSpacing w:val="0"/>
        <w:jc w:val="both"/>
        <w:rPr>
          <w:rFonts w:ascii="Source Sans Pro" w:hAnsi="Source Sans Pro"/>
          <w:sz w:val="22"/>
        </w:rPr>
      </w:pPr>
      <w:r w:rsidRPr="00123A81">
        <w:rPr>
          <w:rFonts w:ascii="Source Sans Pro" w:hAnsi="Source Sans Pro"/>
          <w:sz w:val="22"/>
        </w:rPr>
        <w:t xml:space="preserve">The assessment of local supply is substantially overstated with the inclusion of sites </w:t>
      </w:r>
      <w:r w:rsidR="00C42C0C">
        <w:rPr>
          <w:rFonts w:ascii="Source Sans Pro" w:hAnsi="Source Sans Pro"/>
          <w:sz w:val="22"/>
        </w:rPr>
        <w:t xml:space="preserve">that have </w:t>
      </w:r>
      <w:r w:rsidRPr="00123A81">
        <w:rPr>
          <w:rFonts w:ascii="Source Sans Pro" w:hAnsi="Source Sans Pro"/>
          <w:sz w:val="22"/>
        </w:rPr>
        <w:t xml:space="preserve">already </w:t>
      </w:r>
      <w:r w:rsidR="00C42C0C">
        <w:rPr>
          <w:rFonts w:ascii="Source Sans Pro" w:hAnsi="Source Sans Pro"/>
          <w:sz w:val="22"/>
        </w:rPr>
        <w:t xml:space="preserve">been </w:t>
      </w:r>
      <w:r w:rsidRPr="00123A81">
        <w:rPr>
          <w:rFonts w:ascii="Source Sans Pro" w:hAnsi="Source Sans Pro"/>
          <w:sz w:val="22"/>
        </w:rPr>
        <w:t xml:space="preserve">allocated to meet wider than local needs.  </w:t>
      </w:r>
    </w:p>
    <w:p w14:paraId="0217B1B8" w14:textId="4E4266FE" w:rsidR="00CE36C6" w:rsidRPr="00123A81" w:rsidRDefault="00CE36C6" w:rsidP="00CE36C6">
      <w:pPr>
        <w:pStyle w:val="ListParagraph"/>
        <w:numPr>
          <w:ilvl w:val="0"/>
          <w:numId w:val="44"/>
        </w:numPr>
        <w:spacing w:after="240"/>
        <w:contextualSpacing w:val="0"/>
        <w:jc w:val="both"/>
        <w:rPr>
          <w:rFonts w:ascii="Source Sans Pro" w:hAnsi="Source Sans Pro"/>
          <w:sz w:val="22"/>
        </w:rPr>
      </w:pPr>
      <w:r w:rsidRPr="00123A81">
        <w:rPr>
          <w:rFonts w:ascii="Source Sans Pro" w:hAnsi="Source Sans Pro"/>
          <w:sz w:val="22"/>
        </w:rPr>
        <w:t>The balance between local need and supply is wholly distorted.  In reality, there is a substantial shortfall</w:t>
      </w:r>
      <w:r w:rsidR="00883426">
        <w:rPr>
          <w:rFonts w:ascii="Source Sans Pro" w:hAnsi="Source Sans Pro"/>
          <w:sz w:val="22"/>
        </w:rPr>
        <w:t xml:space="preserve"> of over 90 hectares</w:t>
      </w:r>
      <w:r w:rsidRPr="00123A81">
        <w:rPr>
          <w:rFonts w:ascii="Source Sans Pro" w:hAnsi="Source Sans Pro"/>
          <w:sz w:val="22"/>
        </w:rPr>
        <w:t xml:space="preserve">.  </w:t>
      </w:r>
    </w:p>
    <w:p w14:paraId="62098B60" w14:textId="0728A413" w:rsidR="00CE36C6" w:rsidRPr="00123A81" w:rsidRDefault="00CE36C6" w:rsidP="00CE36C6">
      <w:pPr>
        <w:pStyle w:val="ListParagraph"/>
        <w:numPr>
          <w:ilvl w:val="0"/>
          <w:numId w:val="44"/>
        </w:numPr>
        <w:spacing w:after="240"/>
        <w:contextualSpacing w:val="0"/>
        <w:jc w:val="both"/>
        <w:rPr>
          <w:rFonts w:ascii="Source Sans Pro" w:hAnsi="Source Sans Pro"/>
          <w:sz w:val="22"/>
        </w:rPr>
      </w:pPr>
      <w:r w:rsidRPr="00123A81">
        <w:rPr>
          <w:rFonts w:ascii="Source Sans Pro" w:hAnsi="Source Sans Pro"/>
          <w:sz w:val="22"/>
        </w:rPr>
        <w:t xml:space="preserve">The plan provides an inadequate contribution to meet wider employment land needs, with particular respect to the Black Country, and does not engage properly with </w:t>
      </w:r>
      <w:r w:rsidR="00087C7F">
        <w:rPr>
          <w:rFonts w:ascii="Source Sans Pro" w:hAnsi="Source Sans Pro"/>
          <w:sz w:val="22"/>
        </w:rPr>
        <w:t>the</w:t>
      </w:r>
      <w:r w:rsidRPr="00123A81">
        <w:rPr>
          <w:rFonts w:ascii="Source Sans Pro" w:hAnsi="Source Sans Pro"/>
          <w:sz w:val="22"/>
        </w:rPr>
        <w:t xml:space="preserve"> </w:t>
      </w:r>
      <w:r w:rsidR="00087C7F">
        <w:rPr>
          <w:rFonts w:ascii="Source Sans Pro" w:hAnsi="Source Sans Pro"/>
          <w:sz w:val="22"/>
        </w:rPr>
        <w:t>D</w:t>
      </w:r>
      <w:r w:rsidRPr="00123A81">
        <w:rPr>
          <w:rFonts w:ascii="Source Sans Pro" w:hAnsi="Source Sans Pro"/>
          <w:sz w:val="22"/>
        </w:rPr>
        <w:t xml:space="preserve">uty to </w:t>
      </w:r>
      <w:r w:rsidR="00087C7F">
        <w:rPr>
          <w:rFonts w:ascii="Source Sans Pro" w:hAnsi="Source Sans Pro"/>
          <w:sz w:val="22"/>
        </w:rPr>
        <w:t>C</w:t>
      </w:r>
      <w:r w:rsidRPr="00123A81">
        <w:rPr>
          <w:rFonts w:ascii="Source Sans Pro" w:hAnsi="Source Sans Pro"/>
          <w:sz w:val="22"/>
        </w:rPr>
        <w:t>o</w:t>
      </w:r>
      <w:r w:rsidR="00087C7F">
        <w:rPr>
          <w:rFonts w:ascii="Source Sans Pro" w:hAnsi="Source Sans Pro"/>
          <w:sz w:val="22"/>
        </w:rPr>
        <w:t>-</w:t>
      </w:r>
      <w:r w:rsidRPr="00123A81">
        <w:rPr>
          <w:rFonts w:ascii="Source Sans Pro" w:hAnsi="Source Sans Pro"/>
          <w:sz w:val="22"/>
        </w:rPr>
        <w:t xml:space="preserve">operate.  </w:t>
      </w:r>
    </w:p>
    <w:p w14:paraId="2334D02D" w14:textId="5E0043EA" w:rsidR="00CE36C6" w:rsidRDefault="00CE36C6" w:rsidP="00CE36C6">
      <w:pPr>
        <w:pStyle w:val="ListParagraph"/>
        <w:numPr>
          <w:ilvl w:val="0"/>
          <w:numId w:val="44"/>
        </w:numPr>
        <w:spacing w:after="240"/>
        <w:contextualSpacing w:val="0"/>
        <w:jc w:val="both"/>
        <w:rPr>
          <w:rFonts w:ascii="Source Sans Pro" w:hAnsi="Source Sans Pro"/>
          <w:sz w:val="22"/>
        </w:rPr>
      </w:pPr>
      <w:r w:rsidRPr="00123A81">
        <w:rPr>
          <w:rFonts w:ascii="Source Sans Pro" w:hAnsi="Source Sans Pro"/>
          <w:sz w:val="22"/>
        </w:rPr>
        <w:t xml:space="preserve">The plan </w:t>
      </w:r>
      <w:r w:rsidR="00061C24">
        <w:rPr>
          <w:rFonts w:ascii="Source Sans Pro" w:hAnsi="Source Sans Pro"/>
          <w:sz w:val="22"/>
        </w:rPr>
        <w:t xml:space="preserve">is not justified in that it </w:t>
      </w:r>
      <w:r w:rsidRPr="00123A81">
        <w:rPr>
          <w:rFonts w:ascii="Source Sans Pro" w:hAnsi="Source Sans Pro"/>
          <w:sz w:val="22"/>
        </w:rPr>
        <w:t xml:space="preserve">pays insufficient regard to other elements of the evidence base (e.g West Midlands Strategic Employment Sites Study 2021), </w:t>
      </w:r>
      <w:r w:rsidR="00087C7F">
        <w:rPr>
          <w:rFonts w:ascii="Source Sans Pro" w:hAnsi="Source Sans Pro"/>
          <w:sz w:val="22"/>
        </w:rPr>
        <w:t xml:space="preserve">relevant planning policy guidance issued by Central Government and </w:t>
      </w:r>
      <w:r w:rsidRPr="00123A81">
        <w:rPr>
          <w:rFonts w:ascii="Source Sans Pro" w:hAnsi="Source Sans Pro"/>
          <w:sz w:val="22"/>
        </w:rPr>
        <w:t>infrastructure improvements (e.g M54 M6 link road).</w:t>
      </w:r>
    </w:p>
    <w:p w14:paraId="3C2300DA" w14:textId="6E2BD3B8" w:rsidR="00CE36C6" w:rsidRPr="00123A81" w:rsidRDefault="00CE36C6" w:rsidP="00CE36C6">
      <w:pPr>
        <w:pStyle w:val="ListParagraph"/>
        <w:numPr>
          <w:ilvl w:val="0"/>
          <w:numId w:val="39"/>
        </w:numPr>
        <w:ind w:hanging="720"/>
        <w:contextualSpacing w:val="0"/>
        <w:jc w:val="both"/>
        <w:rPr>
          <w:rFonts w:ascii="Source Sans Pro" w:hAnsi="Source Sans Pro"/>
          <w:sz w:val="22"/>
        </w:rPr>
      </w:pPr>
      <w:r w:rsidRPr="00123A81">
        <w:rPr>
          <w:rFonts w:ascii="Source Sans Pro" w:hAnsi="Source Sans Pro"/>
          <w:sz w:val="22"/>
        </w:rPr>
        <w:t>These reasons are explored in greater detail in turn</w:t>
      </w:r>
      <w:r w:rsidR="00087C7F">
        <w:rPr>
          <w:rFonts w:ascii="Source Sans Pro" w:hAnsi="Source Sans Pro"/>
          <w:sz w:val="22"/>
        </w:rPr>
        <w:t xml:space="preserve"> </w:t>
      </w:r>
      <w:r w:rsidR="00087C7F" w:rsidRPr="00123A81">
        <w:rPr>
          <w:rFonts w:ascii="Source Sans Pro" w:hAnsi="Source Sans Pro"/>
          <w:sz w:val="22"/>
        </w:rPr>
        <w:t>below</w:t>
      </w:r>
      <w:r w:rsidRPr="00123A81">
        <w:rPr>
          <w:rFonts w:ascii="Source Sans Pro" w:hAnsi="Source Sans Pro"/>
          <w:sz w:val="22"/>
        </w:rPr>
        <w:t>.</w:t>
      </w:r>
    </w:p>
    <w:p w14:paraId="25E46F02" w14:textId="77777777" w:rsidR="00CE36C6" w:rsidRDefault="00CE36C6" w:rsidP="00CE36C6">
      <w:pPr>
        <w:spacing w:after="240"/>
        <w:jc w:val="both"/>
        <w:rPr>
          <w:rFonts w:ascii="Source Sans Pro" w:hAnsi="Source Sans Pro"/>
          <w:b/>
          <w:bCs/>
          <w:i/>
          <w:iCs/>
          <w:sz w:val="22"/>
        </w:rPr>
      </w:pPr>
    </w:p>
    <w:p w14:paraId="478361F7" w14:textId="65E08C3F" w:rsidR="00CE36C6" w:rsidRPr="00123A81" w:rsidRDefault="00256555" w:rsidP="00CE36C6">
      <w:pPr>
        <w:spacing w:after="240"/>
        <w:jc w:val="both"/>
        <w:rPr>
          <w:rFonts w:ascii="Source Sans Pro" w:hAnsi="Source Sans Pro"/>
          <w:b/>
          <w:bCs/>
          <w:i/>
          <w:iCs/>
          <w:sz w:val="22"/>
        </w:rPr>
      </w:pPr>
      <w:r>
        <w:rPr>
          <w:rFonts w:ascii="Source Sans Pro" w:hAnsi="Source Sans Pro"/>
          <w:b/>
          <w:bCs/>
          <w:i/>
          <w:iCs/>
          <w:sz w:val="22"/>
        </w:rPr>
        <w:t xml:space="preserve">                </w:t>
      </w:r>
      <w:r w:rsidR="00CE36C6" w:rsidRPr="00123A81">
        <w:rPr>
          <w:rFonts w:ascii="Source Sans Pro" w:hAnsi="Source Sans Pro"/>
          <w:b/>
          <w:bCs/>
          <w:i/>
          <w:iCs/>
          <w:sz w:val="22"/>
        </w:rPr>
        <w:t xml:space="preserve">Need </w:t>
      </w:r>
    </w:p>
    <w:p w14:paraId="16520A17" w14:textId="4AA58434" w:rsidR="00CE36C6" w:rsidRPr="00F667C4" w:rsidRDefault="00CE36C6" w:rsidP="00CE36C6">
      <w:pPr>
        <w:pStyle w:val="ListParagraph"/>
        <w:numPr>
          <w:ilvl w:val="0"/>
          <w:numId w:val="39"/>
        </w:numPr>
        <w:spacing w:after="240"/>
        <w:ind w:hanging="720"/>
        <w:contextualSpacing w:val="0"/>
        <w:jc w:val="both"/>
        <w:rPr>
          <w:rFonts w:ascii="Source Sans Pro" w:hAnsi="Source Sans Pro"/>
          <w:sz w:val="22"/>
        </w:rPr>
      </w:pPr>
      <w:r w:rsidRPr="006E0D06">
        <w:t>T</w:t>
      </w:r>
      <w:r w:rsidRPr="00F667C4">
        <w:rPr>
          <w:rFonts w:ascii="Source Sans Pro" w:hAnsi="Source Sans Pro"/>
          <w:sz w:val="22"/>
        </w:rPr>
        <w:t xml:space="preserve">he need for employment land for South Staffordshire is derived by a new EDNA, produced by consultants DLP.  A local need (i.e to meet the needs of South Staffordshire </w:t>
      </w:r>
      <w:r w:rsidR="00087C7F">
        <w:rPr>
          <w:rFonts w:ascii="Source Sans Pro" w:hAnsi="Source Sans Pro"/>
          <w:sz w:val="22"/>
        </w:rPr>
        <w:t>but</w:t>
      </w:r>
      <w:r w:rsidRPr="00F667C4">
        <w:rPr>
          <w:rFonts w:ascii="Source Sans Pro" w:hAnsi="Source Sans Pro"/>
          <w:sz w:val="22"/>
        </w:rPr>
        <w:t xml:space="preserve"> not other authorities in the identified FEMA - Cannock Chase, Dudley, Stafford, Walsall and Wolverhampton) of 6</w:t>
      </w:r>
      <w:r w:rsidR="00087C7F">
        <w:rPr>
          <w:rFonts w:ascii="Source Sans Pro" w:hAnsi="Source Sans Pro"/>
          <w:sz w:val="22"/>
        </w:rPr>
        <w:t>3</w:t>
      </w:r>
      <w:r w:rsidRPr="00F667C4">
        <w:rPr>
          <w:rFonts w:ascii="Source Sans Pro" w:hAnsi="Source Sans Pro"/>
          <w:sz w:val="22"/>
        </w:rPr>
        <w:t xml:space="preserve">.6 hectares is </w:t>
      </w:r>
      <w:r w:rsidR="00061C24">
        <w:rPr>
          <w:rFonts w:ascii="Source Sans Pro" w:hAnsi="Source Sans Pro"/>
          <w:sz w:val="22"/>
        </w:rPr>
        <w:t>identified in the EDNA</w:t>
      </w:r>
      <w:r w:rsidR="00061C24" w:rsidRPr="00F667C4">
        <w:rPr>
          <w:rFonts w:ascii="Source Sans Pro" w:hAnsi="Source Sans Pro"/>
          <w:sz w:val="22"/>
        </w:rPr>
        <w:t xml:space="preserve"> </w:t>
      </w:r>
      <w:r w:rsidRPr="00F667C4">
        <w:rPr>
          <w:rFonts w:ascii="Source Sans Pro" w:hAnsi="Source Sans Pro"/>
          <w:sz w:val="22"/>
        </w:rPr>
        <w:t xml:space="preserve">for the period 2020 to 2040.  </w:t>
      </w:r>
    </w:p>
    <w:p w14:paraId="37361485" w14:textId="6A929D4F" w:rsidR="00250570" w:rsidRDefault="00CE36C6" w:rsidP="00CE36C6">
      <w:pPr>
        <w:pStyle w:val="ListParagraph"/>
        <w:numPr>
          <w:ilvl w:val="0"/>
          <w:numId w:val="39"/>
        </w:numPr>
        <w:spacing w:after="240"/>
        <w:ind w:hanging="720"/>
        <w:contextualSpacing w:val="0"/>
        <w:jc w:val="both"/>
        <w:rPr>
          <w:rFonts w:ascii="Source Sans Pro" w:hAnsi="Source Sans Pro"/>
          <w:sz w:val="22"/>
        </w:rPr>
      </w:pPr>
      <w:r w:rsidRPr="00F667C4">
        <w:rPr>
          <w:rFonts w:ascii="Source Sans Pro" w:hAnsi="Source Sans Pro"/>
          <w:sz w:val="22"/>
        </w:rPr>
        <w:lastRenderedPageBreak/>
        <w:t>This need is derived by a labour demand model.  However, it is sense check</w:t>
      </w:r>
      <w:r w:rsidR="00C42C0C">
        <w:rPr>
          <w:rFonts w:ascii="Source Sans Pro" w:hAnsi="Source Sans Pro"/>
          <w:sz w:val="22"/>
        </w:rPr>
        <w:t>ed</w:t>
      </w:r>
      <w:r w:rsidRPr="00F667C4">
        <w:rPr>
          <w:rFonts w:ascii="Source Sans Pro" w:hAnsi="Source Sans Pro"/>
          <w:sz w:val="22"/>
        </w:rPr>
        <w:t xml:space="preserve"> by a past completions trend method, which projects </w:t>
      </w:r>
      <w:r w:rsidR="00087C7F">
        <w:rPr>
          <w:rFonts w:ascii="Source Sans Pro" w:hAnsi="Source Sans Pro"/>
          <w:sz w:val="22"/>
        </w:rPr>
        <w:t xml:space="preserve">a </w:t>
      </w:r>
      <w:r w:rsidRPr="00F667C4">
        <w:rPr>
          <w:rFonts w:ascii="Source Sans Pro" w:hAnsi="Source Sans Pro"/>
          <w:sz w:val="22"/>
        </w:rPr>
        <w:t xml:space="preserve">need </w:t>
      </w:r>
      <w:r w:rsidR="00087C7F">
        <w:rPr>
          <w:rFonts w:ascii="Source Sans Pro" w:hAnsi="Source Sans Pro"/>
          <w:sz w:val="22"/>
        </w:rPr>
        <w:t xml:space="preserve">of </w:t>
      </w:r>
      <w:r w:rsidRPr="00F667C4">
        <w:rPr>
          <w:rFonts w:ascii="Source Sans Pro" w:hAnsi="Source Sans Pro"/>
          <w:sz w:val="22"/>
        </w:rPr>
        <w:t>63.7 hectares.</w:t>
      </w:r>
    </w:p>
    <w:p w14:paraId="353489E5" w14:textId="21778090" w:rsidR="00250570" w:rsidRDefault="00250570" w:rsidP="00087C7F">
      <w:pPr>
        <w:pStyle w:val="BodyTextJLL"/>
        <w:numPr>
          <w:ilvl w:val="0"/>
          <w:numId w:val="39"/>
        </w:numPr>
        <w:ind w:left="709" w:hanging="709"/>
      </w:pPr>
      <w:r>
        <w:t>On closer analysis (paragraphs 6.14-6.21 and 6.35-6.43 (pages 85-87, 93 and 94)</w:t>
      </w:r>
      <w:r w:rsidR="00883426">
        <w:t xml:space="preserve"> of the EDNA</w:t>
      </w:r>
      <w:r>
        <w:t>), it would appear that the past completion</w:t>
      </w:r>
      <w:r w:rsidR="00883426">
        <w:t>s</w:t>
      </w:r>
      <w:r>
        <w:t xml:space="preserve"> trend method has been </w:t>
      </w:r>
      <w:r w:rsidR="00061C24">
        <w:t xml:space="preserve">inappropriately adjusted </w:t>
      </w:r>
      <w:r>
        <w:t>in order to demonstrate consistency with the labour demand growth model.  Take</w:t>
      </w:r>
      <w:r w:rsidR="00087C7F">
        <w:t>-</w:t>
      </w:r>
      <w:r>
        <w:t xml:space="preserve">up over the past eight complete years (2012/2013 to 2019/2020) is 360,907 sq m (45,113 sq m per annum) of industrial premises and 24,845 sq m (3,106 sq m per annum) of offices.  However, DLP have </w:t>
      </w:r>
      <w:r w:rsidR="00061C24">
        <w:t xml:space="preserve">asserted </w:t>
      </w:r>
      <w:r>
        <w:t>that a large part of this take</w:t>
      </w:r>
      <w:r w:rsidR="00087C7F">
        <w:t>-</w:t>
      </w:r>
      <w:r>
        <w:t xml:space="preserve">up is “atypical” and should be excluded from the analysis.  </w:t>
      </w:r>
    </w:p>
    <w:p w14:paraId="3B9AE850" w14:textId="77777777" w:rsidR="00250570" w:rsidRDefault="00250570" w:rsidP="00087C7F">
      <w:pPr>
        <w:pStyle w:val="BodyTextJLL"/>
        <w:numPr>
          <w:ilvl w:val="0"/>
          <w:numId w:val="39"/>
        </w:numPr>
        <w:ind w:hanging="720"/>
      </w:pPr>
      <w:r>
        <w:t xml:space="preserve">The excluded elements are 101,305 sq m and 174,571 sq m of industrial premises at Four Ashes (Amazon and Gestamp) and at i54 (JLR) respectively.    A similar deduction has been made in respect of 8,009 sq m of office completions at these two sites.  </w:t>
      </w:r>
    </w:p>
    <w:p w14:paraId="40CF21E6" w14:textId="5F26A949" w:rsidR="00250570" w:rsidRDefault="00250570" w:rsidP="00087C7F">
      <w:pPr>
        <w:pStyle w:val="BodyTextJLL"/>
        <w:numPr>
          <w:ilvl w:val="0"/>
          <w:numId w:val="39"/>
        </w:numPr>
        <w:ind w:hanging="720"/>
      </w:pPr>
      <w:r>
        <w:t xml:space="preserve">This has a </w:t>
      </w:r>
      <w:r w:rsidR="00061C24">
        <w:t xml:space="preserve">very </w:t>
      </w:r>
      <w:r>
        <w:t>significant effect</w:t>
      </w:r>
      <w:r w:rsidR="00061C24">
        <w:t xml:space="preserve"> on the past completion rates</w:t>
      </w:r>
      <w:r>
        <w:t xml:space="preserve">.  Instead of modelling 45,113 + 3,016 = 48,129 sq m per annum as a trend, the study models just 12,733 sq m per annum in order to generate a floor space requirement of 254,660 sq m (i.e 12,733 x 20) for the whole plan period.  This generates a land requirement of 63.7 hectares (at 40% site cover).  </w:t>
      </w:r>
    </w:p>
    <w:p w14:paraId="6554506A" w14:textId="697CDACC" w:rsidR="00250570" w:rsidRDefault="00250570" w:rsidP="00087C7F">
      <w:pPr>
        <w:pStyle w:val="BodyTextJLL"/>
        <w:numPr>
          <w:ilvl w:val="0"/>
          <w:numId w:val="39"/>
        </w:numPr>
        <w:ind w:hanging="720"/>
      </w:pPr>
      <w:r>
        <w:t>If no take</w:t>
      </w:r>
      <w:r w:rsidR="00087C7F">
        <w:t>-</w:t>
      </w:r>
      <w:r>
        <w:t>up was excluded</w:t>
      </w:r>
      <w:r w:rsidR="00061C24">
        <w:t>, and the out-turn not manually adjusted</w:t>
      </w:r>
      <w:r>
        <w:t xml:space="preserve"> (i.e JLR and Four Ashes </w:t>
      </w:r>
      <w:r w:rsidR="00087C7F">
        <w:t>were</w:t>
      </w:r>
      <w:r>
        <w:t xml:space="preserve"> not considered to be “atypical”), then the floor space requirement for the plan period based on the past completions </w:t>
      </w:r>
      <w:r w:rsidR="00883426">
        <w:t xml:space="preserve">trend </w:t>
      </w:r>
      <w:r>
        <w:t xml:space="preserve">method would be 48,129 x 20 = 962,580 sq m.   This would require </w:t>
      </w:r>
      <w:r w:rsidRPr="00883426">
        <w:rPr>
          <w:b/>
          <w:bCs/>
        </w:rPr>
        <w:t>241 hectares</w:t>
      </w:r>
      <w:r>
        <w:t xml:space="preserve"> (at 40% site cover)</w:t>
      </w:r>
      <w:r w:rsidR="00061C24">
        <w:t xml:space="preserve"> – i</w:t>
      </w:r>
      <w:r w:rsidR="00CA4178">
        <w:t>.</w:t>
      </w:r>
      <w:r w:rsidR="00061C24">
        <w:t>e almost 4 times as much as the Council is seeking to plan for</w:t>
      </w:r>
      <w:r>
        <w:t xml:space="preserve">.  </w:t>
      </w:r>
    </w:p>
    <w:p w14:paraId="6E9DE6DE" w14:textId="6E2F48AA" w:rsidR="00250570" w:rsidRDefault="00061C24" w:rsidP="00087C7F">
      <w:pPr>
        <w:pStyle w:val="BodyTextJLL"/>
        <w:numPr>
          <w:ilvl w:val="0"/>
          <w:numId w:val="39"/>
        </w:numPr>
        <w:ind w:hanging="720"/>
      </w:pPr>
      <w:r>
        <w:t>Even i</w:t>
      </w:r>
      <w:r w:rsidR="00250570">
        <w:t>f it was accepted that the JLR development at i54 was “atypical”</w:t>
      </w:r>
      <w:r>
        <w:t>, and could be properly excluded,</w:t>
      </w:r>
      <w:r w:rsidR="00250570">
        <w:t xml:space="preserve"> but Four Ashes was </w:t>
      </w:r>
      <w:r>
        <w:t>included</w:t>
      </w:r>
      <w:r w:rsidR="00250570">
        <w:t>, then the take</w:t>
      </w:r>
      <w:r w:rsidR="00087C7F">
        <w:t>-</w:t>
      </w:r>
      <w:r w:rsidR="00250570">
        <w:t xml:space="preserve">up over the last eight years would be 203,172 sq m (360,907 + 24,845 sq m - 174,571 sq m – 8,009 sq m (no split is given for offices between Four Ashes and JLR so we have assumed the worst case and it is all JLR).  203,172 sq m over eight years equates to 25,397 sq m per annum.  This is twice as great as that modelled by DLP and will project a floor space requirement of 507,930 sq m and a land requirement of </w:t>
      </w:r>
      <w:r w:rsidR="00250570" w:rsidRPr="000A61BA">
        <w:rPr>
          <w:b/>
          <w:bCs/>
        </w:rPr>
        <w:t>127 hectares</w:t>
      </w:r>
      <w:r w:rsidR="00087C7F">
        <w:rPr>
          <w:b/>
          <w:bCs/>
        </w:rPr>
        <w:t xml:space="preserve"> </w:t>
      </w:r>
      <w:r w:rsidR="00087C7F" w:rsidRPr="00087C7F">
        <w:t>(at 40% site cover)</w:t>
      </w:r>
      <w:r w:rsidR="00250570" w:rsidRPr="00087C7F">
        <w:t>.</w:t>
      </w:r>
      <w:r w:rsidR="00250570">
        <w:t xml:space="preserve"> </w:t>
      </w:r>
    </w:p>
    <w:p w14:paraId="159202A8" w14:textId="1D9D8623" w:rsidR="00CE36C6" w:rsidRPr="00250570" w:rsidRDefault="00CE36C6" w:rsidP="00490265">
      <w:pPr>
        <w:pStyle w:val="ListParagraph"/>
        <w:numPr>
          <w:ilvl w:val="0"/>
          <w:numId w:val="39"/>
        </w:numPr>
        <w:spacing w:after="240"/>
        <w:ind w:hanging="720"/>
        <w:contextualSpacing w:val="0"/>
        <w:jc w:val="both"/>
        <w:rPr>
          <w:rFonts w:ascii="Source Sans Pro" w:hAnsi="Source Sans Pro"/>
          <w:sz w:val="22"/>
        </w:rPr>
      </w:pPr>
      <w:r w:rsidRPr="00250570">
        <w:rPr>
          <w:rFonts w:ascii="Source Sans Pro" w:hAnsi="Source Sans Pro"/>
          <w:sz w:val="22"/>
        </w:rPr>
        <w:t xml:space="preserve"> It is hard to understand why </w:t>
      </w:r>
      <w:r w:rsidR="00061C24">
        <w:rPr>
          <w:rFonts w:ascii="Source Sans Pro" w:hAnsi="Source Sans Pro"/>
          <w:sz w:val="22"/>
        </w:rPr>
        <w:t xml:space="preserve">it could be rationally argued </w:t>
      </w:r>
      <w:r w:rsidRPr="00250570">
        <w:rPr>
          <w:rFonts w:ascii="Source Sans Pro" w:hAnsi="Source Sans Pro"/>
          <w:sz w:val="22"/>
        </w:rPr>
        <w:t xml:space="preserve">the Four Ashes development is considered to be </w:t>
      </w:r>
      <w:r w:rsidR="00883426">
        <w:rPr>
          <w:rFonts w:ascii="Source Sans Pro" w:hAnsi="Source Sans Pro"/>
          <w:sz w:val="22"/>
        </w:rPr>
        <w:t>“</w:t>
      </w:r>
      <w:r w:rsidRPr="00250570">
        <w:rPr>
          <w:rFonts w:ascii="Source Sans Pro" w:hAnsi="Source Sans Pro"/>
          <w:sz w:val="22"/>
        </w:rPr>
        <w:t>atypical</w:t>
      </w:r>
      <w:r w:rsidR="00883426">
        <w:rPr>
          <w:rFonts w:ascii="Source Sans Pro" w:hAnsi="Source Sans Pro"/>
          <w:sz w:val="22"/>
        </w:rPr>
        <w:t>”</w:t>
      </w:r>
      <w:r w:rsidRPr="00250570">
        <w:rPr>
          <w:rFonts w:ascii="Source Sans Pro" w:hAnsi="Source Sans Pro"/>
          <w:sz w:val="22"/>
        </w:rPr>
        <w:t>.  Many similar developments have been constructed in Staffordshire over recent years, including:</w:t>
      </w:r>
      <w:r w:rsidR="00472B6C">
        <w:rPr>
          <w:rFonts w:ascii="Source Sans Pro" w:hAnsi="Source Sans Pro"/>
          <w:sz w:val="22"/>
        </w:rPr>
        <w:t xml:space="preserve"> </w:t>
      </w:r>
      <w:r w:rsidRPr="00250570">
        <w:rPr>
          <w:rFonts w:ascii="Source Sans Pro" w:hAnsi="Source Sans Pro"/>
          <w:sz w:val="22"/>
        </w:rPr>
        <w:t>-</w:t>
      </w:r>
    </w:p>
    <w:p w14:paraId="1D7CA586" w14:textId="77777777" w:rsidR="00CE36C6" w:rsidRPr="00F667C4" w:rsidRDefault="00CE36C6" w:rsidP="00CE36C6">
      <w:pPr>
        <w:pStyle w:val="ListParagraph"/>
        <w:numPr>
          <w:ilvl w:val="0"/>
          <w:numId w:val="44"/>
        </w:numPr>
        <w:spacing w:after="240"/>
        <w:contextualSpacing w:val="0"/>
        <w:jc w:val="both"/>
        <w:rPr>
          <w:rFonts w:ascii="Source Sans Pro" w:hAnsi="Source Sans Pro"/>
          <w:sz w:val="22"/>
        </w:rPr>
      </w:pPr>
      <w:r w:rsidRPr="00F667C4">
        <w:rPr>
          <w:rFonts w:ascii="Source Sans Pro" w:hAnsi="Source Sans Pro"/>
          <w:sz w:val="22"/>
        </w:rPr>
        <w:t xml:space="preserve">Kingswood Lakeside, Cannock </w:t>
      </w:r>
    </w:p>
    <w:p w14:paraId="51E6CBE3" w14:textId="77777777" w:rsidR="00CE36C6" w:rsidRPr="00F667C4" w:rsidRDefault="00CE36C6" w:rsidP="00CE36C6">
      <w:pPr>
        <w:pStyle w:val="ListParagraph"/>
        <w:numPr>
          <w:ilvl w:val="0"/>
          <w:numId w:val="44"/>
        </w:numPr>
        <w:spacing w:after="240"/>
        <w:contextualSpacing w:val="0"/>
        <w:jc w:val="both"/>
        <w:rPr>
          <w:rFonts w:ascii="Source Sans Pro" w:hAnsi="Source Sans Pro"/>
          <w:sz w:val="22"/>
        </w:rPr>
      </w:pPr>
      <w:r w:rsidRPr="00F667C4">
        <w:rPr>
          <w:rFonts w:ascii="Source Sans Pro" w:hAnsi="Source Sans Pro"/>
          <w:sz w:val="22"/>
        </w:rPr>
        <w:t>Fradley Park, Lichfield</w:t>
      </w:r>
    </w:p>
    <w:p w14:paraId="1E28A4E0" w14:textId="77777777" w:rsidR="00CE36C6" w:rsidRPr="00F667C4" w:rsidRDefault="00CE36C6" w:rsidP="00CE36C6">
      <w:pPr>
        <w:pStyle w:val="ListParagraph"/>
        <w:numPr>
          <w:ilvl w:val="0"/>
          <w:numId w:val="44"/>
        </w:numPr>
        <w:spacing w:after="240"/>
        <w:contextualSpacing w:val="0"/>
        <w:jc w:val="both"/>
        <w:rPr>
          <w:rFonts w:ascii="Source Sans Pro" w:hAnsi="Source Sans Pro"/>
          <w:sz w:val="22"/>
        </w:rPr>
      </w:pPr>
      <w:r w:rsidRPr="00F667C4">
        <w:rPr>
          <w:rFonts w:ascii="Source Sans Pro" w:hAnsi="Source Sans Pro"/>
          <w:sz w:val="22"/>
        </w:rPr>
        <w:t>Radial Park and Centurion Park, Tamworth</w:t>
      </w:r>
    </w:p>
    <w:p w14:paraId="1849DDF3" w14:textId="77777777" w:rsidR="00CE36C6" w:rsidRPr="00F667C4" w:rsidRDefault="00CE36C6" w:rsidP="00CE36C6">
      <w:pPr>
        <w:pStyle w:val="ListParagraph"/>
        <w:numPr>
          <w:ilvl w:val="0"/>
          <w:numId w:val="44"/>
        </w:numPr>
        <w:spacing w:after="240"/>
        <w:contextualSpacing w:val="0"/>
        <w:jc w:val="both"/>
        <w:rPr>
          <w:rFonts w:ascii="Source Sans Pro" w:hAnsi="Source Sans Pro"/>
          <w:sz w:val="22"/>
        </w:rPr>
      </w:pPr>
      <w:r w:rsidRPr="00F667C4">
        <w:rPr>
          <w:rFonts w:ascii="Source Sans Pro" w:hAnsi="Source Sans Pro"/>
          <w:sz w:val="22"/>
        </w:rPr>
        <w:t xml:space="preserve">Redhill Business Park, Stafford </w:t>
      </w:r>
    </w:p>
    <w:p w14:paraId="64D46C12" w14:textId="77777777" w:rsidR="00CE36C6" w:rsidRPr="00F667C4" w:rsidRDefault="00CE36C6" w:rsidP="00CE36C6">
      <w:pPr>
        <w:pStyle w:val="ListParagraph"/>
        <w:numPr>
          <w:ilvl w:val="0"/>
          <w:numId w:val="44"/>
        </w:numPr>
        <w:spacing w:after="240"/>
        <w:contextualSpacing w:val="0"/>
        <w:jc w:val="both"/>
        <w:rPr>
          <w:rFonts w:ascii="Source Sans Pro" w:hAnsi="Source Sans Pro"/>
          <w:sz w:val="22"/>
        </w:rPr>
      </w:pPr>
      <w:r w:rsidRPr="00F667C4">
        <w:rPr>
          <w:rFonts w:ascii="Source Sans Pro" w:hAnsi="Source Sans Pro"/>
          <w:sz w:val="22"/>
        </w:rPr>
        <w:t xml:space="preserve">St Modwen Park Stoke Central, Stoke on Trent </w:t>
      </w:r>
    </w:p>
    <w:p w14:paraId="4442E29A" w14:textId="77777777" w:rsidR="00CE36C6" w:rsidRDefault="00CE36C6" w:rsidP="00CE36C6">
      <w:pPr>
        <w:pStyle w:val="ListParagraph"/>
        <w:numPr>
          <w:ilvl w:val="0"/>
          <w:numId w:val="44"/>
        </w:numPr>
        <w:spacing w:after="240"/>
        <w:contextualSpacing w:val="0"/>
        <w:jc w:val="both"/>
        <w:rPr>
          <w:rFonts w:ascii="Source Sans Pro" w:hAnsi="Source Sans Pro"/>
          <w:sz w:val="22"/>
        </w:rPr>
      </w:pPr>
      <w:r w:rsidRPr="00F667C4">
        <w:rPr>
          <w:rFonts w:ascii="Source Sans Pro" w:hAnsi="Source Sans Pro"/>
          <w:sz w:val="22"/>
        </w:rPr>
        <w:lastRenderedPageBreak/>
        <w:t>St Modwen Park Burton</w:t>
      </w:r>
    </w:p>
    <w:p w14:paraId="54FC15A5" w14:textId="7D75165C" w:rsidR="00CE36C6" w:rsidRDefault="00CE36C6" w:rsidP="00CE36C6">
      <w:pPr>
        <w:pStyle w:val="ListParagraph"/>
        <w:numPr>
          <w:ilvl w:val="0"/>
          <w:numId w:val="39"/>
        </w:numPr>
        <w:ind w:hanging="720"/>
        <w:contextualSpacing w:val="0"/>
        <w:jc w:val="both"/>
        <w:rPr>
          <w:rFonts w:ascii="Source Sans Pro" w:hAnsi="Source Sans Pro"/>
          <w:sz w:val="22"/>
        </w:rPr>
      </w:pPr>
      <w:r w:rsidRPr="00F667C4">
        <w:rPr>
          <w:rFonts w:ascii="Source Sans Pro" w:hAnsi="Source Sans Pro"/>
          <w:sz w:val="22"/>
        </w:rPr>
        <w:t>Essentially, a land requirement of 63.</w:t>
      </w:r>
      <w:r w:rsidR="00066C46">
        <w:rPr>
          <w:rFonts w:ascii="Source Sans Pro" w:hAnsi="Source Sans Pro"/>
          <w:sz w:val="22"/>
        </w:rPr>
        <w:t>6</w:t>
      </w:r>
      <w:r w:rsidRPr="00F667C4">
        <w:rPr>
          <w:rFonts w:ascii="Source Sans Pro" w:hAnsi="Source Sans Pro"/>
          <w:sz w:val="22"/>
        </w:rPr>
        <w:t xml:space="preserve"> hectares, as projected by the labour demand model, will represent a significant reduction in the pace of development experienced within the district over the eight years to 2020.  This is illustrated below by </w:t>
      </w:r>
      <w:r w:rsidR="00250570">
        <w:rPr>
          <w:rFonts w:ascii="Source Sans Pro" w:hAnsi="Source Sans Pro"/>
          <w:sz w:val="22"/>
        </w:rPr>
        <w:t>F</w:t>
      </w:r>
      <w:r w:rsidRPr="00F667C4">
        <w:rPr>
          <w:rFonts w:ascii="Source Sans Pro" w:hAnsi="Source Sans Pro"/>
          <w:sz w:val="22"/>
        </w:rPr>
        <w:t>igure 1.</w:t>
      </w:r>
      <w:r w:rsidR="00CA4178">
        <w:rPr>
          <w:rFonts w:ascii="Source Sans Pro" w:hAnsi="Source Sans Pro"/>
          <w:sz w:val="22"/>
        </w:rPr>
        <w:t xml:space="preserve"> The red line represents the projected need; the blue line the pace of development over the last 8 years; and the green line an adjusted pace of development taking out the </w:t>
      </w:r>
      <w:r w:rsidR="00472B6C">
        <w:rPr>
          <w:rFonts w:ascii="Source Sans Pro" w:hAnsi="Source Sans Pro"/>
          <w:sz w:val="22"/>
        </w:rPr>
        <w:t>asserted</w:t>
      </w:r>
      <w:r w:rsidR="00C42C0C">
        <w:rPr>
          <w:rFonts w:ascii="Source Sans Pro" w:hAnsi="Source Sans Pro"/>
          <w:sz w:val="22"/>
        </w:rPr>
        <w:t xml:space="preserve"> </w:t>
      </w:r>
      <w:r w:rsidR="00472B6C">
        <w:rPr>
          <w:rFonts w:ascii="Source Sans Pro" w:hAnsi="Source Sans Pro"/>
          <w:sz w:val="22"/>
        </w:rPr>
        <w:t>“</w:t>
      </w:r>
      <w:r w:rsidR="00CA4178">
        <w:rPr>
          <w:rFonts w:ascii="Source Sans Pro" w:hAnsi="Source Sans Pro"/>
          <w:sz w:val="22"/>
        </w:rPr>
        <w:t>atypical” development of JLR at i54.</w:t>
      </w:r>
    </w:p>
    <w:p w14:paraId="1DFF600A" w14:textId="1532204A" w:rsidR="00CE36C6" w:rsidRDefault="00CE36C6" w:rsidP="00CE36C6">
      <w:pPr>
        <w:jc w:val="both"/>
        <w:rPr>
          <w:rFonts w:ascii="Source Sans Pro" w:hAnsi="Source Sans Pro"/>
          <w:sz w:val="22"/>
        </w:rPr>
      </w:pPr>
    </w:p>
    <w:p w14:paraId="3F0D6989" w14:textId="21A86D4B" w:rsidR="00250570" w:rsidRDefault="00250570" w:rsidP="00250570">
      <w:pPr>
        <w:jc w:val="both"/>
        <w:rPr>
          <w:rFonts w:ascii="Source Sans Pro" w:hAnsi="Source Sans Pro"/>
          <w:sz w:val="22"/>
        </w:rPr>
      </w:pPr>
      <w:r>
        <w:rPr>
          <w:noProof/>
        </w:rPr>
        <w:drawing>
          <wp:inline distT="0" distB="0" distL="0" distR="0" wp14:anchorId="557597F5" wp14:editId="33471C50">
            <wp:extent cx="5732145" cy="335724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2145" cy="3357245"/>
                    </a:xfrm>
                    <a:prstGeom prst="rect">
                      <a:avLst/>
                    </a:prstGeom>
                  </pic:spPr>
                </pic:pic>
              </a:graphicData>
            </a:graphic>
          </wp:inline>
        </w:drawing>
      </w:r>
    </w:p>
    <w:p w14:paraId="1F3B46E3" w14:textId="401B3BF8" w:rsidR="00250570" w:rsidRDefault="00250570" w:rsidP="00250570">
      <w:pPr>
        <w:ind w:firstLine="709"/>
        <w:jc w:val="both"/>
        <w:rPr>
          <w:rFonts w:ascii="Source Sans Pro" w:hAnsi="Source Sans Pro"/>
          <w:sz w:val="22"/>
        </w:rPr>
      </w:pPr>
    </w:p>
    <w:p w14:paraId="6CD7CEAA" w14:textId="30FCC5B1" w:rsidR="00CE36C6" w:rsidRPr="00F667C4" w:rsidRDefault="00883426" w:rsidP="00CE36C6">
      <w:pPr>
        <w:pStyle w:val="ListParagraph"/>
        <w:numPr>
          <w:ilvl w:val="0"/>
          <w:numId w:val="39"/>
        </w:numPr>
        <w:spacing w:before="240"/>
        <w:ind w:hanging="720"/>
        <w:contextualSpacing w:val="0"/>
        <w:jc w:val="both"/>
        <w:rPr>
          <w:rFonts w:ascii="Source Sans Pro" w:hAnsi="Source Sans Pro"/>
          <w:sz w:val="22"/>
        </w:rPr>
      </w:pPr>
      <w:r>
        <w:rPr>
          <w:rFonts w:ascii="Source Sans Pro" w:hAnsi="Source Sans Pro"/>
          <w:sz w:val="22"/>
        </w:rPr>
        <w:t>T</w:t>
      </w:r>
      <w:r w:rsidR="00CE36C6" w:rsidRPr="00F667C4">
        <w:rPr>
          <w:rFonts w:ascii="Source Sans Pro" w:hAnsi="Source Sans Pro"/>
          <w:sz w:val="22"/>
        </w:rPr>
        <w:t xml:space="preserve">his pace of development </w:t>
      </w:r>
      <w:r>
        <w:rPr>
          <w:rFonts w:ascii="Source Sans Pro" w:hAnsi="Source Sans Pro"/>
          <w:sz w:val="22"/>
        </w:rPr>
        <w:t xml:space="preserve">has </w:t>
      </w:r>
      <w:r w:rsidR="00CE36C6" w:rsidRPr="00F667C4">
        <w:rPr>
          <w:rFonts w:ascii="Source Sans Pro" w:hAnsi="Source Sans Pro"/>
          <w:sz w:val="22"/>
        </w:rPr>
        <w:t>continue</w:t>
      </w:r>
      <w:r>
        <w:rPr>
          <w:rFonts w:ascii="Source Sans Pro" w:hAnsi="Source Sans Pro"/>
          <w:sz w:val="22"/>
        </w:rPr>
        <w:t>d</w:t>
      </w:r>
      <w:r w:rsidR="00CE36C6" w:rsidRPr="00F667C4">
        <w:rPr>
          <w:rFonts w:ascii="Source Sans Pro" w:hAnsi="Source Sans Pro"/>
          <w:sz w:val="22"/>
        </w:rPr>
        <w:t xml:space="preserve"> </w:t>
      </w:r>
      <w:r>
        <w:rPr>
          <w:rFonts w:ascii="Source Sans Pro" w:hAnsi="Source Sans Pro"/>
          <w:sz w:val="22"/>
        </w:rPr>
        <w:t xml:space="preserve">since 2020 </w:t>
      </w:r>
      <w:r w:rsidR="00CE36C6" w:rsidRPr="00F667C4">
        <w:rPr>
          <w:rFonts w:ascii="Source Sans Pro" w:hAnsi="Source Sans Pro"/>
          <w:sz w:val="22"/>
        </w:rPr>
        <w:t xml:space="preserve">with two deals agreed for 80,000 sq m at the extension to </w:t>
      </w:r>
      <w:r w:rsidR="00A04296">
        <w:rPr>
          <w:rFonts w:ascii="Source Sans Pro" w:hAnsi="Source Sans Pro"/>
          <w:sz w:val="22"/>
        </w:rPr>
        <w:t>i</w:t>
      </w:r>
      <w:r w:rsidR="00CE36C6" w:rsidRPr="00F667C4">
        <w:rPr>
          <w:rFonts w:ascii="Source Sans Pro" w:hAnsi="Source Sans Pro"/>
          <w:sz w:val="22"/>
        </w:rPr>
        <w:t xml:space="preserve">54 - 50,000 sq m for a Telford based company and 30,000 sq m for a Black Country based company.  These two deals absorb 23.3 hectares of the overall allocation of </w:t>
      </w:r>
      <w:r w:rsidR="00A04296">
        <w:rPr>
          <w:rFonts w:ascii="Source Sans Pro" w:hAnsi="Source Sans Pro"/>
          <w:sz w:val="22"/>
        </w:rPr>
        <w:t>i</w:t>
      </w:r>
      <w:r w:rsidR="00CE36C6" w:rsidRPr="00F667C4">
        <w:rPr>
          <w:rFonts w:ascii="Source Sans Pro" w:hAnsi="Source Sans Pro"/>
          <w:sz w:val="22"/>
        </w:rPr>
        <w:t>54 Western Extension for 40 hectares</w:t>
      </w:r>
      <w:r w:rsidR="00A70F5A">
        <w:rPr>
          <w:rFonts w:ascii="Source Sans Pro" w:hAnsi="Source Sans Pro"/>
          <w:sz w:val="22"/>
        </w:rPr>
        <w:t>. These are exactly the sort of companies which a Council should be looking to attract to its employment sites in order to facilitate a buoyant local market</w:t>
      </w:r>
      <w:r w:rsidR="00CE36C6" w:rsidRPr="00F667C4">
        <w:rPr>
          <w:rFonts w:ascii="Source Sans Pro" w:hAnsi="Source Sans Pro"/>
          <w:sz w:val="22"/>
        </w:rPr>
        <w:t xml:space="preserve">.  In addition, site E20 – Hilton Cross (4.8 hectares) – has been developed </w:t>
      </w:r>
      <w:r w:rsidR="006121C0">
        <w:rPr>
          <w:rFonts w:ascii="Source Sans Pro" w:hAnsi="Source Sans Pro"/>
          <w:sz w:val="22"/>
        </w:rPr>
        <w:t xml:space="preserve">speculatively </w:t>
      </w:r>
      <w:r w:rsidR="00CE36C6" w:rsidRPr="00F667C4">
        <w:rPr>
          <w:rFonts w:ascii="Source Sans Pro" w:hAnsi="Source Sans Pro"/>
          <w:sz w:val="22"/>
        </w:rPr>
        <w:t>and is being marketed by JLL (being marketed as Wolf</w:t>
      </w:r>
      <w:r w:rsidR="00066C46">
        <w:rPr>
          <w:rFonts w:ascii="Source Sans Pro" w:hAnsi="Source Sans Pro"/>
          <w:sz w:val="22"/>
        </w:rPr>
        <w:t>p</w:t>
      </w:r>
      <w:r w:rsidR="00CE36C6" w:rsidRPr="00F667C4">
        <w:rPr>
          <w:rFonts w:ascii="Source Sans Pro" w:hAnsi="Source Sans Pro"/>
          <w:sz w:val="22"/>
        </w:rPr>
        <w:t xml:space="preserve">ack) and site E14 – Vernon (2.8 hectares) - is currently under construction (and being marketed as Vernon 122). </w:t>
      </w:r>
    </w:p>
    <w:p w14:paraId="2E20526F" w14:textId="6C38EAC5" w:rsidR="00CE36C6" w:rsidRPr="00F667C4" w:rsidRDefault="00CE36C6" w:rsidP="00CE36C6">
      <w:pPr>
        <w:pStyle w:val="ListParagraph"/>
        <w:numPr>
          <w:ilvl w:val="0"/>
          <w:numId w:val="39"/>
        </w:numPr>
        <w:spacing w:before="240"/>
        <w:ind w:hanging="720"/>
        <w:contextualSpacing w:val="0"/>
        <w:jc w:val="both"/>
        <w:rPr>
          <w:rFonts w:ascii="Source Sans Pro" w:hAnsi="Source Sans Pro"/>
          <w:sz w:val="22"/>
        </w:rPr>
      </w:pPr>
      <w:r w:rsidRPr="00F667C4">
        <w:rPr>
          <w:rFonts w:ascii="Source Sans Pro" w:hAnsi="Source Sans Pro"/>
          <w:sz w:val="22"/>
        </w:rPr>
        <w:t xml:space="preserve">Whilst the DLP EDNA provides a huge amount of data and sensitivity analysis, its conclusions in terms of need are not </w:t>
      </w:r>
      <w:r w:rsidR="00243EF0">
        <w:rPr>
          <w:rFonts w:ascii="Source Sans Pro" w:hAnsi="Source Sans Pro"/>
          <w:sz w:val="22"/>
        </w:rPr>
        <w:t>properly founded</w:t>
      </w:r>
      <w:r w:rsidRPr="00F667C4">
        <w:rPr>
          <w:rFonts w:ascii="Source Sans Pro" w:hAnsi="Source Sans Pro"/>
          <w:sz w:val="22"/>
        </w:rPr>
        <w:t xml:space="preserve"> in what has actually happened on the ground (and is continuing to happen)</w:t>
      </w:r>
      <w:r w:rsidR="006121C0">
        <w:rPr>
          <w:rFonts w:ascii="Source Sans Pro" w:hAnsi="Source Sans Pro"/>
          <w:sz w:val="22"/>
        </w:rPr>
        <w:t>. T</w:t>
      </w:r>
      <w:r w:rsidR="00243EF0">
        <w:rPr>
          <w:rFonts w:ascii="Source Sans Pro" w:hAnsi="Source Sans Pro"/>
          <w:sz w:val="22"/>
        </w:rPr>
        <w:t>he artificial and unwarranted skewing of the figures is patently wrong</w:t>
      </w:r>
      <w:r w:rsidRPr="00F667C4">
        <w:rPr>
          <w:rFonts w:ascii="Source Sans Pro" w:hAnsi="Source Sans Pro"/>
          <w:sz w:val="22"/>
        </w:rPr>
        <w:t xml:space="preserve">.  </w:t>
      </w:r>
      <w:r w:rsidR="00243EF0">
        <w:rPr>
          <w:rFonts w:ascii="Source Sans Pro" w:hAnsi="Source Sans Pro"/>
          <w:sz w:val="22"/>
        </w:rPr>
        <w:t>The past trends analysis in fact undermines the use of the labour demand basis of assess</w:t>
      </w:r>
      <w:r w:rsidR="00CA4178">
        <w:rPr>
          <w:rFonts w:ascii="Source Sans Pro" w:hAnsi="Source Sans Pro"/>
          <w:sz w:val="22"/>
        </w:rPr>
        <w:t>ment</w:t>
      </w:r>
      <w:r w:rsidR="00243EF0">
        <w:rPr>
          <w:rFonts w:ascii="Source Sans Pro" w:hAnsi="Source Sans Pro"/>
          <w:sz w:val="22"/>
        </w:rPr>
        <w:t xml:space="preserve"> and should have led to the conclusion that r</w:t>
      </w:r>
      <w:r w:rsidRPr="00F667C4">
        <w:rPr>
          <w:rFonts w:ascii="Source Sans Pro" w:hAnsi="Source Sans Pro"/>
          <w:sz w:val="22"/>
        </w:rPr>
        <w:t xml:space="preserve">eliance on a projection based on labour demand is </w:t>
      </w:r>
      <w:r w:rsidR="00243EF0">
        <w:rPr>
          <w:rFonts w:ascii="Source Sans Pro" w:hAnsi="Source Sans Pro"/>
          <w:sz w:val="22"/>
        </w:rPr>
        <w:t>unjustified and would act as a brake upon future development</w:t>
      </w:r>
      <w:r w:rsidRPr="00F667C4">
        <w:rPr>
          <w:rFonts w:ascii="Source Sans Pro" w:hAnsi="Source Sans Pro"/>
          <w:sz w:val="22"/>
        </w:rPr>
        <w:t xml:space="preserve">.  </w:t>
      </w:r>
    </w:p>
    <w:p w14:paraId="29073DC6" w14:textId="6855F904" w:rsidR="00CE36C6" w:rsidRDefault="00CE36C6" w:rsidP="00CE36C6">
      <w:pPr>
        <w:pStyle w:val="ListParagraph"/>
        <w:numPr>
          <w:ilvl w:val="0"/>
          <w:numId w:val="39"/>
        </w:numPr>
        <w:spacing w:before="240"/>
        <w:ind w:hanging="720"/>
        <w:contextualSpacing w:val="0"/>
        <w:jc w:val="both"/>
        <w:rPr>
          <w:rFonts w:ascii="Source Sans Pro" w:hAnsi="Source Sans Pro"/>
          <w:sz w:val="22"/>
        </w:rPr>
      </w:pPr>
      <w:r w:rsidRPr="00F667C4">
        <w:rPr>
          <w:rFonts w:ascii="Source Sans Pro" w:hAnsi="Source Sans Pro"/>
          <w:sz w:val="22"/>
        </w:rPr>
        <w:lastRenderedPageBreak/>
        <w:t>Recently, other local planning authorities have questioned the reliability of projections based on this model.  This include</w:t>
      </w:r>
      <w:r w:rsidR="006121C0">
        <w:rPr>
          <w:rFonts w:ascii="Source Sans Pro" w:hAnsi="Source Sans Pro"/>
          <w:sz w:val="22"/>
        </w:rPr>
        <w:t>s</w:t>
      </w:r>
      <w:r w:rsidRPr="00F667C4">
        <w:rPr>
          <w:rFonts w:ascii="Source Sans Pro" w:hAnsi="Source Sans Pro"/>
          <w:sz w:val="22"/>
        </w:rPr>
        <w:t xml:space="preserve"> Stafford Borough Council, which </w:t>
      </w:r>
      <w:r w:rsidR="00066C46">
        <w:rPr>
          <w:rFonts w:ascii="Source Sans Pro" w:hAnsi="Source Sans Pro"/>
          <w:sz w:val="22"/>
        </w:rPr>
        <w:t>forms</w:t>
      </w:r>
      <w:r w:rsidRPr="00F667C4">
        <w:rPr>
          <w:rFonts w:ascii="Source Sans Pro" w:hAnsi="Source Sans Pro"/>
          <w:sz w:val="22"/>
        </w:rPr>
        <w:t xml:space="preserve"> part of the same FEMA.  Stafford Borough Council has recently consulted on </w:t>
      </w:r>
      <w:r w:rsidR="00472B6C">
        <w:rPr>
          <w:rFonts w:ascii="Source Sans Pro" w:hAnsi="Source Sans Pro"/>
          <w:sz w:val="22"/>
        </w:rPr>
        <w:t xml:space="preserve">its </w:t>
      </w:r>
      <w:r w:rsidR="00066C46">
        <w:rPr>
          <w:rFonts w:ascii="Source Sans Pro" w:hAnsi="Source Sans Pro"/>
          <w:sz w:val="22"/>
        </w:rPr>
        <w:t>P</w:t>
      </w:r>
      <w:r w:rsidRPr="00F667C4">
        <w:rPr>
          <w:rFonts w:ascii="Source Sans Pro" w:hAnsi="Source Sans Pro"/>
          <w:sz w:val="22"/>
        </w:rPr>
        <w:t xml:space="preserve">referred </w:t>
      </w:r>
      <w:r w:rsidR="00066C46">
        <w:rPr>
          <w:rFonts w:ascii="Source Sans Pro" w:hAnsi="Source Sans Pro"/>
          <w:sz w:val="22"/>
        </w:rPr>
        <w:t>O</w:t>
      </w:r>
      <w:r w:rsidRPr="00F667C4">
        <w:rPr>
          <w:rFonts w:ascii="Source Sans Pro" w:hAnsi="Source Sans Pro"/>
          <w:sz w:val="22"/>
        </w:rPr>
        <w:t>ptions to its Local Plan review.  Part of the evidence base to the draft plan include</w:t>
      </w:r>
      <w:r w:rsidR="00066C46">
        <w:rPr>
          <w:rFonts w:ascii="Source Sans Pro" w:hAnsi="Source Sans Pro"/>
          <w:sz w:val="22"/>
        </w:rPr>
        <w:t>s</w:t>
      </w:r>
      <w:r w:rsidRPr="00F667C4">
        <w:rPr>
          <w:rFonts w:ascii="Source Sans Pro" w:hAnsi="Source Sans Pro"/>
          <w:sz w:val="22"/>
        </w:rPr>
        <w:t xml:space="preserve"> a </w:t>
      </w:r>
      <w:r w:rsidR="00066C46" w:rsidRPr="00E83BC2">
        <w:rPr>
          <w:rFonts w:ascii="Source Sans Pro" w:hAnsi="Source Sans Pro"/>
          <w:sz w:val="22"/>
        </w:rPr>
        <w:t>H</w:t>
      </w:r>
      <w:r w:rsidRPr="00E83BC2">
        <w:rPr>
          <w:rFonts w:ascii="Source Sans Pro" w:hAnsi="Source Sans Pro"/>
          <w:sz w:val="22"/>
        </w:rPr>
        <w:t xml:space="preserve">ousing and </w:t>
      </w:r>
      <w:r w:rsidR="00066C46" w:rsidRPr="00E83BC2">
        <w:rPr>
          <w:rFonts w:ascii="Source Sans Pro" w:hAnsi="Source Sans Pro"/>
          <w:sz w:val="22"/>
        </w:rPr>
        <w:t>E</w:t>
      </w:r>
      <w:r w:rsidRPr="00E83BC2">
        <w:rPr>
          <w:rFonts w:ascii="Source Sans Pro" w:hAnsi="Source Sans Pro"/>
          <w:sz w:val="22"/>
        </w:rPr>
        <w:t xml:space="preserve">mployment </w:t>
      </w:r>
      <w:r w:rsidR="00066C46" w:rsidRPr="00E83BC2">
        <w:rPr>
          <w:rFonts w:ascii="Source Sans Pro" w:hAnsi="Source Sans Pro"/>
          <w:sz w:val="22"/>
        </w:rPr>
        <w:t>L</w:t>
      </w:r>
      <w:r w:rsidRPr="00E83BC2">
        <w:rPr>
          <w:rFonts w:ascii="Source Sans Pro" w:hAnsi="Source Sans Pro"/>
          <w:sz w:val="22"/>
        </w:rPr>
        <w:t xml:space="preserve">and </w:t>
      </w:r>
      <w:r w:rsidR="00066C46" w:rsidRPr="00E83BC2">
        <w:rPr>
          <w:rFonts w:ascii="Source Sans Pro" w:hAnsi="Source Sans Pro"/>
          <w:sz w:val="22"/>
        </w:rPr>
        <w:t>N</w:t>
      </w:r>
      <w:r w:rsidRPr="00E83BC2">
        <w:rPr>
          <w:rFonts w:ascii="Source Sans Pro" w:hAnsi="Source Sans Pro"/>
          <w:sz w:val="22"/>
        </w:rPr>
        <w:t xml:space="preserve">umbers </w:t>
      </w:r>
      <w:r w:rsidR="00066C46" w:rsidRPr="00E83BC2">
        <w:rPr>
          <w:rFonts w:ascii="Source Sans Pro" w:hAnsi="Source Sans Pro"/>
          <w:sz w:val="22"/>
        </w:rPr>
        <w:t>T</w:t>
      </w:r>
      <w:r w:rsidRPr="00E83BC2">
        <w:rPr>
          <w:rFonts w:ascii="Source Sans Pro" w:hAnsi="Source Sans Pro"/>
          <w:sz w:val="22"/>
        </w:rPr>
        <w:t xml:space="preserve">opic </w:t>
      </w:r>
      <w:r w:rsidR="00066C46" w:rsidRPr="00E83BC2">
        <w:rPr>
          <w:rFonts w:ascii="Source Sans Pro" w:hAnsi="Source Sans Pro"/>
          <w:sz w:val="22"/>
        </w:rPr>
        <w:t>P</w:t>
      </w:r>
      <w:r w:rsidRPr="00E83BC2">
        <w:rPr>
          <w:rFonts w:ascii="Source Sans Pro" w:hAnsi="Source Sans Pro"/>
          <w:sz w:val="22"/>
        </w:rPr>
        <w:t>aper (</w:t>
      </w:r>
      <w:r w:rsidR="00883426" w:rsidRPr="00E83BC2">
        <w:rPr>
          <w:rFonts w:ascii="Source Sans Pro" w:hAnsi="Source Sans Pro"/>
          <w:sz w:val="22"/>
        </w:rPr>
        <w:t>P</w:t>
      </w:r>
      <w:r w:rsidRPr="00E83BC2">
        <w:rPr>
          <w:rFonts w:ascii="Source Sans Pro" w:hAnsi="Source Sans Pro"/>
          <w:sz w:val="22"/>
        </w:rPr>
        <w:t xml:space="preserve">referred </w:t>
      </w:r>
      <w:r w:rsidR="00883426" w:rsidRPr="00E83BC2">
        <w:rPr>
          <w:rFonts w:ascii="Source Sans Pro" w:hAnsi="Source Sans Pro"/>
          <w:sz w:val="22"/>
        </w:rPr>
        <w:t>O</w:t>
      </w:r>
      <w:r w:rsidRPr="00E83BC2">
        <w:rPr>
          <w:rFonts w:ascii="Source Sans Pro" w:hAnsi="Source Sans Pro"/>
          <w:sz w:val="22"/>
        </w:rPr>
        <w:t>ption</w:t>
      </w:r>
      <w:r w:rsidR="00883426" w:rsidRPr="00E83BC2">
        <w:rPr>
          <w:rFonts w:ascii="Source Sans Pro" w:hAnsi="Source Sans Pro"/>
          <w:sz w:val="22"/>
        </w:rPr>
        <w:t>s</w:t>
      </w:r>
      <w:r w:rsidRPr="00E83BC2">
        <w:rPr>
          <w:rFonts w:ascii="Source Sans Pro" w:hAnsi="Source Sans Pro"/>
          <w:sz w:val="22"/>
        </w:rPr>
        <w:t xml:space="preserve"> stage)</w:t>
      </w:r>
      <w:r w:rsidRPr="00E83BC2">
        <w:rPr>
          <w:rStyle w:val="FootnoteReference"/>
          <w:rFonts w:ascii="Source Sans Pro" w:hAnsi="Source Sans Pro"/>
          <w:sz w:val="22"/>
        </w:rPr>
        <w:footnoteReference w:id="1"/>
      </w:r>
      <w:r>
        <w:rPr>
          <w:rFonts w:ascii="Source Sans Pro" w:hAnsi="Source Sans Pro"/>
          <w:sz w:val="22"/>
        </w:rPr>
        <w:t>.</w:t>
      </w:r>
    </w:p>
    <w:p w14:paraId="2BCAD10F" w14:textId="77777777" w:rsidR="008B2E4E" w:rsidRDefault="008B2E4E" w:rsidP="008B2E4E">
      <w:pPr>
        <w:pStyle w:val="ListParagraph"/>
        <w:spacing w:before="240"/>
        <w:contextualSpacing w:val="0"/>
        <w:jc w:val="both"/>
        <w:rPr>
          <w:rFonts w:ascii="Source Sans Pro" w:hAnsi="Source Sans Pro"/>
          <w:sz w:val="22"/>
        </w:rPr>
      </w:pPr>
    </w:p>
    <w:p w14:paraId="79CE7273" w14:textId="5DCBCF51" w:rsidR="008B2E4E" w:rsidRPr="00883426" w:rsidRDefault="008B2E4E" w:rsidP="0047708C">
      <w:pPr>
        <w:pStyle w:val="ListParagraph"/>
        <w:numPr>
          <w:ilvl w:val="0"/>
          <w:numId w:val="39"/>
        </w:numPr>
        <w:ind w:hanging="720"/>
        <w:contextualSpacing w:val="0"/>
        <w:jc w:val="both"/>
        <w:rPr>
          <w:rFonts w:ascii="Source Sans Pro" w:hAnsi="Source Sans Pro"/>
          <w:sz w:val="22"/>
        </w:rPr>
      </w:pPr>
      <w:r w:rsidRPr="00883426">
        <w:rPr>
          <w:rFonts w:ascii="Source Sans Pro" w:hAnsi="Source Sans Pro"/>
          <w:sz w:val="22"/>
        </w:rPr>
        <w:t xml:space="preserve">The Topic Paper </w:t>
      </w:r>
      <w:r w:rsidR="00243EF0">
        <w:rPr>
          <w:rFonts w:ascii="Source Sans Pro" w:hAnsi="Source Sans Pro"/>
          <w:sz w:val="22"/>
        </w:rPr>
        <w:t xml:space="preserve">robustly </w:t>
      </w:r>
      <w:r w:rsidRPr="00883426">
        <w:rPr>
          <w:rFonts w:ascii="Source Sans Pro" w:hAnsi="Source Sans Pro"/>
          <w:sz w:val="22"/>
        </w:rPr>
        <w:t xml:space="preserve">questions the use of labour demand projections for determining future employment land needs.  Specifically, it considers that the link between labour and employment floor space for both industrial and warehouse sectors may not be necessarily the principal determining factor.  Instead, productivity improvements in these sectors are more likely to be driven by automation and improving efficiency and scale (paragraphs 2.6 and 2.7).  </w:t>
      </w:r>
    </w:p>
    <w:p w14:paraId="00099B7E" w14:textId="77777777" w:rsidR="008B2E4E" w:rsidRDefault="008B2E4E" w:rsidP="008B2E4E">
      <w:pPr>
        <w:pStyle w:val="ListParagraph"/>
        <w:spacing w:after="120"/>
        <w:jc w:val="both"/>
        <w:rPr>
          <w:rFonts w:ascii="Source Sans Pro" w:hAnsi="Source Sans Pro"/>
          <w:sz w:val="22"/>
        </w:rPr>
      </w:pPr>
    </w:p>
    <w:p w14:paraId="0B9EF20A" w14:textId="453F09B6" w:rsidR="008B2E4E" w:rsidRDefault="008B2E4E" w:rsidP="008B2E4E">
      <w:pPr>
        <w:pStyle w:val="ListParagraph"/>
        <w:numPr>
          <w:ilvl w:val="0"/>
          <w:numId w:val="39"/>
        </w:numPr>
        <w:ind w:hanging="720"/>
        <w:contextualSpacing w:val="0"/>
        <w:jc w:val="both"/>
        <w:rPr>
          <w:rFonts w:ascii="Source Sans Pro" w:hAnsi="Source Sans Pro"/>
          <w:sz w:val="22"/>
        </w:rPr>
      </w:pPr>
      <w:r w:rsidRPr="0080612E">
        <w:rPr>
          <w:rFonts w:ascii="Source Sans Pro" w:hAnsi="Source Sans Pro"/>
          <w:sz w:val="22"/>
        </w:rPr>
        <w:t xml:space="preserve">Moreover, the Topic Paper (paragraph 2.8) identifies a stronger relationship between growth </w:t>
      </w:r>
      <w:r>
        <w:rPr>
          <w:rFonts w:ascii="Source Sans Pro" w:hAnsi="Source Sans Pro"/>
          <w:sz w:val="22"/>
        </w:rPr>
        <w:t>in</w:t>
      </w:r>
      <w:r w:rsidRPr="0080612E">
        <w:rPr>
          <w:rFonts w:ascii="Source Sans Pro" w:hAnsi="Source Sans Pro"/>
          <w:sz w:val="22"/>
        </w:rPr>
        <w:t xml:space="preserve"> GVA and growth in floor space.  It notes that whilst there was a significant decline in employment in manufacturing in the </w:t>
      </w:r>
      <w:r>
        <w:rPr>
          <w:rFonts w:ascii="Source Sans Pro" w:hAnsi="Source Sans Pro"/>
          <w:sz w:val="22"/>
        </w:rPr>
        <w:t>B</w:t>
      </w:r>
      <w:r w:rsidRPr="0080612E">
        <w:rPr>
          <w:rFonts w:ascii="Source Sans Pro" w:hAnsi="Source Sans Pro"/>
          <w:sz w:val="22"/>
        </w:rPr>
        <w:t xml:space="preserve">orough over the last 20 years, there has </w:t>
      </w:r>
      <w:r w:rsidR="006121C0">
        <w:rPr>
          <w:rFonts w:ascii="Source Sans Pro" w:hAnsi="Source Sans Pro"/>
          <w:sz w:val="22"/>
        </w:rPr>
        <w:t xml:space="preserve">also </w:t>
      </w:r>
      <w:r w:rsidRPr="0080612E">
        <w:rPr>
          <w:rFonts w:ascii="Source Sans Pro" w:hAnsi="Source Sans Pro"/>
          <w:sz w:val="22"/>
        </w:rPr>
        <w:t xml:space="preserve">been </w:t>
      </w:r>
      <w:r w:rsidR="00243EF0">
        <w:rPr>
          <w:rFonts w:ascii="Source Sans Pro" w:hAnsi="Source Sans Pro"/>
          <w:sz w:val="22"/>
        </w:rPr>
        <w:t xml:space="preserve">significant </w:t>
      </w:r>
      <w:r w:rsidRPr="0080612E">
        <w:rPr>
          <w:rFonts w:ascii="Source Sans Pro" w:hAnsi="Source Sans Pro"/>
          <w:sz w:val="22"/>
        </w:rPr>
        <w:t>growth in GVA and a corresponding increase in net completions of industrial land.  Similarly, there has been high growth in GVA in the warehouse sector</w:t>
      </w:r>
      <w:r w:rsidR="006121C0">
        <w:rPr>
          <w:rFonts w:ascii="Source Sans Pro" w:hAnsi="Source Sans Pro"/>
          <w:sz w:val="22"/>
        </w:rPr>
        <w:t xml:space="preserve"> and</w:t>
      </w:r>
      <w:r w:rsidRPr="0080612E">
        <w:rPr>
          <w:rFonts w:ascii="Source Sans Pro" w:hAnsi="Source Sans Pro"/>
          <w:sz w:val="22"/>
        </w:rPr>
        <w:t xml:space="preserve"> high land completions, but a much more modest growth in job numbers. </w:t>
      </w:r>
    </w:p>
    <w:p w14:paraId="47BB37AF" w14:textId="77777777" w:rsidR="008D0D06" w:rsidRPr="008D0D06" w:rsidRDefault="008D0D06" w:rsidP="008D0D06">
      <w:pPr>
        <w:jc w:val="both"/>
        <w:rPr>
          <w:rFonts w:ascii="Source Sans Pro" w:hAnsi="Source Sans Pro"/>
          <w:sz w:val="22"/>
        </w:rPr>
      </w:pPr>
    </w:p>
    <w:p w14:paraId="54E293CD" w14:textId="20B0097F" w:rsidR="008D0D06" w:rsidRDefault="00883426" w:rsidP="008D0D06">
      <w:pPr>
        <w:pStyle w:val="ListParagraph"/>
        <w:numPr>
          <w:ilvl w:val="0"/>
          <w:numId w:val="39"/>
        </w:numPr>
        <w:ind w:hanging="720"/>
        <w:contextualSpacing w:val="0"/>
        <w:jc w:val="both"/>
        <w:rPr>
          <w:rFonts w:ascii="Source Sans Pro" w:hAnsi="Source Sans Pro"/>
          <w:sz w:val="22"/>
        </w:rPr>
      </w:pPr>
      <w:r>
        <w:rPr>
          <w:rFonts w:ascii="Source Sans Pro" w:hAnsi="Source Sans Pro"/>
          <w:sz w:val="22"/>
        </w:rPr>
        <w:t>The Topic Paper concludes that a</w:t>
      </w:r>
      <w:r w:rsidR="008D0D06" w:rsidRPr="00F66B32">
        <w:rPr>
          <w:rFonts w:ascii="Source Sans Pro" w:hAnsi="Source Sans Pro"/>
          <w:sz w:val="22"/>
        </w:rPr>
        <w:t xml:space="preserve"> projection </w:t>
      </w:r>
      <w:r>
        <w:rPr>
          <w:rFonts w:ascii="Source Sans Pro" w:hAnsi="Source Sans Pro"/>
          <w:sz w:val="22"/>
        </w:rPr>
        <w:t xml:space="preserve">based on a labour demand model </w:t>
      </w:r>
      <w:r w:rsidR="005F2BDD">
        <w:rPr>
          <w:rFonts w:ascii="Source Sans Pro" w:hAnsi="Source Sans Pro"/>
          <w:sz w:val="22"/>
        </w:rPr>
        <w:t>is</w:t>
      </w:r>
      <w:r w:rsidR="00243EF0">
        <w:rPr>
          <w:rFonts w:ascii="Source Sans Pro" w:hAnsi="Source Sans Pro"/>
          <w:sz w:val="22"/>
        </w:rPr>
        <w:t xml:space="preserve"> very</w:t>
      </w:r>
      <w:r w:rsidR="005F2BDD">
        <w:rPr>
          <w:rFonts w:ascii="Source Sans Pro" w:hAnsi="Source Sans Pro"/>
          <w:sz w:val="22"/>
        </w:rPr>
        <w:t xml:space="preserve"> </w:t>
      </w:r>
      <w:r w:rsidR="00290978">
        <w:rPr>
          <w:rFonts w:ascii="Source Sans Pro" w:hAnsi="Source Sans Pro"/>
          <w:sz w:val="22"/>
        </w:rPr>
        <w:t>likely to be</w:t>
      </w:r>
      <w:r w:rsidR="008D0D06" w:rsidRPr="00F66B32">
        <w:rPr>
          <w:rFonts w:ascii="Source Sans Pro" w:hAnsi="Source Sans Pro"/>
          <w:sz w:val="22"/>
        </w:rPr>
        <w:t xml:space="preserve"> </w:t>
      </w:r>
      <w:r w:rsidR="005F2BDD">
        <w:rPr>
          <w:rFonts w:ascii="Source Sans Pro" w:hAnsi="Source Sans Pro"/>
          <w:sz w:val="22"/>
        </w:rPr>
        <w:t xml:space="preserve">highly </w:t>
      </w:r>
      <w:r w:rsidR="008D0D06" w:rsidRPr="00F66B32">
        <w:rPr>
          <w:rFonts w:ascii="Source Sans Pro" w:hAnsi="Source Sans Pro"/>
          <w:sz w:val="22"/>
        </w:rPr>
        <w:t>supressed and that other indicators – e.g market signals – suggest a strong demand for industrial land, particularly to serve the warehouse sector, leaving potentially a much greater requirement for employment land.  For these reasons, the Topic Paper (in Box 2) states that it is the intention of the Council to update the EHDNA to test forecast employment land requirements</w:t>
      </w:r>
      <w:r w:rsidR="008D0D06">
        <w:rPr>
          <w:rFonts w:ascii="Source Sans Pro" w:hAnsi="Source Sans Pro"/>
          <w:sz w:val="22"/>
        </w:rPr>
        <w:t>.</w:t>
      </w:r>
    </w:p>
    <w:p w14:paraId="5E6D7C5D" w14:textId="77777777" w:rsidR="00CE36C6" w:rsidRDefault="00CE36C6" w:rsidP="00CE36C6">
      <w:pPr>
        <w:pStyle w:val="ListParagraph"/>
        <w:contextualSpacing w:val="0"/>
        <w:jc w:val="both"/>
        <w:rPr>
          <w:rFonts w:ascii="Source Sans Pro" w:hAnsi="Source Sans Pro"/>
          <w:sz w:val="22"/>
        </w:rPr>
      </w:pPr>
    </w:p>
    <w:p w14:paraId="2948F133" w14:textId="31C75A2B" w:rsidR="00CE36C6" w:rsidRPr="00F667C4" w:rsidRDefault="00CE36C6" w:rsidP="00CE36C6">
      <w:pPr>
        <w:pStyle w:val="ListParagraph"/>
        <w:numPr>
          <w:ilvl w:val="0"/>
          <w:numId w:val="39"/>
        </w:numPr>
        <w:ind w:hanging="720"/>
        <w:contextualSpacing w:val="0"/>
        <w:jc w:val="both"/>
        <w:rPr>
          <w:rFonts w:ascii="Source Sans Pro" w:hAnsi="Source Sans Pro"/>
          <w:sz w:val="22"/>
        </w:rPr>
      </w:pPr>
      <w:r w:rsidRPr="00F667C4">
        <w:rPr>
          <w:rFonts w:ascii="Source Sans Pro" w:hAnsi="Source Sans Pro"/>
          <w:sz w:val="22"/>
        </w:rPr>
        <w:t>For the</w:t>
      </w:r>
      <w:r w:rsidR="005F2BDD">
        <w:rPr>
          <w:rFonts w:ascii="Source Sans Pro" w:hAnsi="Source Sans Pro"/>
          <w:sz w:val="22"/>
        </w:rPr>
        <w:t xml:space="preserve"> above reasons</w:t>
      </w:r>
      <w:r w:rsidRPr="00F667C4">
        <w:rPr>
          <w:rFonts w:ascii="Source Sans Pro" w:hAnsi="Source Sans Pro"/>
          <w:sz w:val="22"/>
        </w:rPr>
        <w:t xml:space="preserve">, JLL considers that the local need for employment </w:t>
      </w:r>
      <w:r w:rsidR="005F2BDD">
        <w:rPr>
          <w:rFonts w:ascii="Source Sans Pro" w:hAnsi="Source Sans Pro"/>
          <w:sz w:val="22"/>
        </w:rPr>
        <w:t>l</w:t>
      </w:r>
      <w:r w:rsidRPr="00F667C4">
        <w:rPr>
          <w:rFonts w:ascii="Source Sans Pro" w:hAnsi="Source Sans Pro"/>
          <w:sz w:val="22"/>
        </w:rPr>
        <w:t xml:space="preserve">and for South Staffordshire </w:t>
      </w:r>
      <w:r w:rsidR="00243EF0">
        <w:rPr>
          <w:rFonts w:ascii="Source Sans Pro" w:hAnsi="Source Sans Pro"/>
          <w:sz w:val="22"/>
        </w:rPr>
        <w:t>must</w:t>
      </w:r>
      <w:r w:rsidR="00243EF0" w:rsidRPr="00F667C4">
        <w:rPr>
          <w:rFonts w:ascii="Source Sans Pro" w:hAnsi="Source Sans Pro"/>
          <w:sz w:val="22"/>
        </w:rPr>
        <w:t xml:space="preserve"> </w:t>
      </w:r>
      <w:r w:rsidRPr="00F667C4">
        <w:rPr>
          <w:rFonts w:ascii="Source Sans Pro" w:hAnsi="Source Sans Pro"/>
          <w:sz w:val="22"/>
        </w:rPr>
        <w:t>be totally reassessed.  This reassessment should be based on the past completions</w:t>
      </w:r>
      <w:r w:rsidR="005F2BDD">
        <w:rPr>
          <w:rFonts w:ascii="Source Sans Pro" w:hAnsi="Source Sans Pro"/>
          <w:sz w:val="22"/>
        </w:rPr>
        <w:t xml:space="preserve"> trend</w:t>
      </w:r>
      <w:r w:rsidRPr="00F667C4">
        <w:rPr>
          <w:rFonts w:ascii="Source Sans Pro" w:hAnsi="Source Sans Pro"/>
          <w:sz w:val="22"/>
        </w:rPr>
        <w:t xml:space="preserve"> method, </w:t>
      </w:r>
      <w:r w:rsidR="006121C0">
        <w:rPr>
          <w:rFonts w:ascii="Source Sans Pro" w:hAnsi="Source Sans Pro"/>
          <w:sz w:val="22"/>
        </w:rPr>
        <w:t xml:space="preserve">possibly </w:t>
      </w:r>
      <w:r w:rsidRPr="00F667C4">
        <w:rPr>
          <w:rFonts w:ascii="Source Sans Pro" w:hAnsi="Source Sans Pro"/>
          <w:sz w:val="22"/>
        </w:rPr>
        <w:t xml:space="preserve">adjusted </w:t>
      </w:r>
      <w:r w:rsidR="00243EF0">
        <w:rPr>
          <w:rFonts w:ascii="Source Sans Pro" w:hAnsi="Source Sans Pro"/>
          <w:sz w:val="22"/>
        </w:rPr>
        <w:t xml:space="preserve">so as </w:t>
      </w:r>
      <w:r w:rsidRPr="00F667C4">
        <w:rPr>
          <w:rFonts w:ascii="Source Sans Pro" w:hAnsi="Source Sans Pro"/>
          <w:sz w:val="22"/>
        </w:rPr>
        <w:t>to remove</w:t>
      </w:r>
      <w:r w:rsidR="005F2BDD">
        <w:rPr>
          <w:rFonts w:ascii="Source Sans Pro" w:hAnsi="Source Sans Pro"/>
          <w:sz w:val="22"/>
        </w:rPr>
        <w:t xml:space="preserve"> the</w:t>
      </w:r>
      <w:r w:rsidRPr="00F667C4">
        <w:rPr>
          <w:rFonts w:ascii="Source Sans Pro" w:hAnsi="Source Sans Pro"/>
          <w:sz w:val="22"/>
        </w:rPr>
        <w:t xml:space="preserve"> </w:t>
      </w:r>
      <w:r w:rsidR="005F2BDD">
        <w:rPr>
          <w:rFonts w:ascii="Source Sans Pro" w:hAnsi="Source Sans Pro"/>
          <w:sz w:val="22"/>
        </w:rPr>
        <w:t>“</w:t>
      </w:r>
      <w:r w:rsidRPr="00F667C4">
        <w:rPr>
          <w:rFonts w:ascii="Source Sans Pro" w:hAnsi="Source Sans Pro"/>
          <w:sz w:val="22"/>
        </w:rPr>
        <w:t>atypical</w:t>
      </w:r>
      <w:r w:rsidR="005F2BDD">
        <w:rPr>
          <w:rFonts w:ascii="Source Sans Pro" w:hAnsi="Source Sans Pro"/>
          <w:sz w:val="22"/>
        </w:rPr>
        <w:t>”</w:t>
      </w:r>
      <w:r w:rsidRPr="00F667C4">
        <w:rPr>
          <w:rFonts w:ascii="Source Sans Pro" w:hAnsi="Source Sans Pro"/>
          <w:sz w:val="22"/>
        </w:rPr>
        <w:t xml:space="preserve"> development of </w:t>
      </w:r>
      <w:r w:rsidR="0074766D">
        <w:rPr>
          <w:rFonts w:ascii="Source Sans Pro" w:hAnsi="Source Sans Pro"/>
          <w:sz w:val="22"/>
        </w:rPr>
        <w:t>i</w:t>
      </w:r>
      <w:r w:rsidRPr="00F667C4">
        <w:rPr>
          <w:rFonts w:ascii="Source Sans Pro" w:hAnsi="Source Sans Pro"/>
          <w:sz w:val="22"/>
        </w:rPr>
        <w:t>54 to accommodate JLR’s engine factory, to provide a minimum of 127 hectares for the plan period</w:t>
      </w:r>
      <w:r w:rsidR="00243EF0">
        <w:rPr>
          <w:rFonts w:ascii="Source Sans Pro" w:hAnsi="Source Sans Pro"/>
          <w:sz w:val="22"/>
        </w:rPr>
        <w:t>, noting that even this is a constrained figure</w:t>
      </w:r>
      <w:r w:rsidRPr="00F667C4">
        <w:rPr>
          <w:rFonts w:ascii="Source Sans Pro" w:hAnsi="Source Sans Pro"/>
          <w:sz w:val="22"/>
        </w:rPr>
        <w:t xml:space="preserve">.  </w:t>
      </w:r>
    </w:p>
    <w:p w14:paraId="6E59FD34" w14:textId="4CFE6D52" w:rsidR="00CE36C6" w:rsidRDefault="00CE36C6" w:rsidP="00CE36C6">
      <w:pPr>
        <w:pStyle w:val="ListParagraph"/>
        <w:numPr>
          <w:ilvl w:val="0"/>
          <w:numId w:val="39"/>
        </w:numPr>
        <w:spacing w:before="240"/>
        <w:ind w:hanging="720"/>
        <w:contextualSpacing w:val="0"/>
        <w:jc w:val="both"/>
        <w:rPr>
          <w:rFonts w:ascii="Source Sans Pro" w:hAnsi="Source Sans Pro"/>
          <w:sz w:val="22"/>
        </w:rPr>
      </w:pPr>
      <w:r w:rsidRPr="00F667C4">
        <w:rPr>
          <w:rFonts w:ascii="Source Sans Pro" w:hAnsi="Source Sans Pro"/>
          <w:sz w:val="22"/>
        </w:rPr>
        <w:t>This figure should be a minimum.  This is for two reasons:</w:t>
      </w:r>
      <w:r w:rsidR="00290978">
        <w:rPr>
          <w:rFonts w:ascii="Source Sans Pro" w:hAnsi="Source Sans Pro"/>
          <w:sz w:val="22"/>
        </w:rPr>
        <w:t xml:space="preserve"> -</w:t>
      </w:r>
    </w:p>
    <w:p w14:paraId="0D539F44" w14:textId="0DAF0165" w:rsidR="00CE36C6" w:rsidRPr="00F667C4" w:rsidRDefault="00CE36C6" w:rsidP="00CE36C6">
      <w:pPr>
        <w:pStyle w:val="ListParagraph"/>
        <w:numPr>
          <w:ilvl w:val="0"/>
          <w:numId w:val="44"/>
        </w:numPr>
        <w:spacing w:before="240" w:after="240"/>
        <w:contextualSpacing w:val="0"/>
        <w:jc w:val="both"/>
        <w:rPr>
          <w:rFonts w:ascii="Source Sans Pro" w:hAnsi="Source Sans Pro"/>
          <w:sz w:val="22"/>
        </w:rPr>
      </w:pPr>
      <w:r w:rsidRPr="00F667C4">
        <w:rPr>
          <w:rFonts w:ascii="Source Sans Pro" w:hAnsi="Source Sans Pro"/>
          <w:sz w:val="22"/>
        </w:rPr>
        <w:t>The take</w:t>
      </w:r>
      <w:r w:rsidR="005F2BDD">
        <w:rPr>
          <w:rFonts w:ascii="Source Sans Pro" w:hAnsi="Source Sans Pro"/>
          <w:sz w:val="22"/>
        </w:rPr>
        <w:t>-</w:t>
      </w:r>
      <w:r w:rsidRPr="00F667C4">
        <w:rPr>
          <w:rFonts w:ascii="Source Sans Pro" w:hAnsi="Source Sans Pro"/>
          <w:sz w:val="22"/>
        </w:rPr>
        <w:t xml:space="preserve">up </w:t>
      </w:r>
      <w:r w:rsidR="005F2BDD">
        <w:rPr>
          <w:rFonts w:ascii="Source Sans Pro" w:hAnsi="Source Sans Pro"/>
          <w:sz w:val="22"/>
        </w:rPr>
        <w:t xml:space="preserve">of </w:t>
      </w:r>
      <w:r w:rsidRPr="00F667C4">
        <w:rPr>
          <w:rFonts w:ascii="Source Sans Pro" w:hAnsi="Source Sans Pro"/>
          <w:sz w:val="22"/>
        </w:rPr>
        <w:t>development land over the monitoring period has been suppressed</w:t>
      </w:r>
      <w:r w:rsidR="005F2BDD">
        <w:rPr>
          <w:rFonts w:ascii="Source Sans Pro" w:hAnsi="Source Sans Pro"/>
          <w:sz w:val="22"/>
        </w:rPr>
        <w:t xml:space="preserve"> in all probability</w:t>
      </w:r>
      <w:r w:rsidR="006121C0">
        <w:rPr>
          <w:rFonts w:ascii="Source Sans Pro" w:hAnsi="Source Sans Pro"/>
          <w:sz w:val="22"/>
        </w:rPr>
        <w:t xml:space="preserve"> – see below</w:t>
      </w:r>
      <w:r w:rsidRPr="00F667C4">
        <w:rPr>
          <w:rFonts w:ascii="Source Sans Pro" w:hAnsi="Source Sans Pro"/>
          <w:sz w:val="22"/>
        </w:rPr>
        <w:t xml:space="preserve">. </w:t>
      </w:r>
    </w:p>
    <w:p w14:paraId="5C11B26B" w14:textId="77777777" w:rsidR="00CE36C6" w:rsidRDefault="00CE36C6" w:rsidP="00CE36C6">
      <w:pPr>
        <w:pStyle w:val="ListParagraph"/>
        <w:numPr>
          <w:ilvl w:val="0"/>
          <w:numId w:val="44"/>
        </w:numPr>
        <w:spacing w:after="240"/>
        <w:contextualSpacing w:val="0"/>
        <w:jc w:val="both"/>
        <w:rPr>
          <w:rFonts w:ascii="Source Sans Pro" w:hAnsi="Source Sans Pro"/>
          <w:sz w:val="22"/>
        </w:rPr>
      </w:pPr>
      <w:r w:rsidRPr="00F667C4">
        <w:rPr>
          <w:rFonts w:ascii="Source Sans Pro" w:hAnsi="Source Sans Pro"/>
          <w:sz w:val="22"/>
        </w:rPr>
        <w:t xml:space="preserve">Market signals are still showing a large imbalance of demand over supply, particularly for the logistics sector.  </w:t>
      </w:r>
    </w:p>
    <w:p w14:paraId="2DF68DFC" w14:textId="0DD5308C" w:rsidR="00CE36C6" w:rsidRDefault="00CE36C6" w:rsidP="00CE36C6">
      <w:pPr>
        <w:pStyle w:val="ListParagraph"/>
        <w:numPr>
          <w:ilvl w:val="0"/>
          <w:numId w:val="39"/>
        </w:numPr>
        <w:spacing w:before="240"/>
        <w:ind w:hanging="720"/>
        <w:contextualSpacing w:val="0"/>
        <w:jc w:val="both"/>
        <w:rPr>
          <w:rFonts w:ascii="Source Sans Pro" w:hAnsi="Source Sans Pro"/>
          <w:sz w:val="22"/>
        </w:rPr>
      </w:pPr>
      <w:r w:rsidRPr="00F667C4">
        <w:rPr>
          <w:rFonts w:ascii="Source Sans Pro" w:hAnsi="Source Sans Pro"/>
          <w:sz w:val="22"/>
        </w:rPr>
        <w:t xml:space="preserve">The </w:t>
      </w:r>
      <w:r w:rsidR="005F2BDD">
        <w:rPr>
          <w:rFonts w:ascii="Source Sans Pro" w:hAnsi="Source Sans Pro"/>
          <w:sz w:val="22"/>
        </w:rPr>
        <w:t xml:space="preserve">notion of the </w:t>
      </w:r>
      <w:r w:rsidRPr="00F667C4">
        <w:rPr>
          <w:rFonts w:ascii="Source Sans Pro" w:hAnsi="Source Sans Pro"/>
          <w:sz w:val="22"/>
        </w:rPr>
        <w:t xml:space="preserve">suppression of demand for employment development land has been explored more widely over recent years by the property industry.  This includes some analysis carried out by Savills and St Modwen, which is explained in pages 20 to 22 of the </w:t>
      </w:r>
      <w:r w:rsidRPr="00E83BC2">
        <w:rPr>
          <w:rFonts w:ascii="Source Sans Pro" w:hAnsi="Source Sans Pro"/>
          <w:sz w:val="22"/>
        </w:rPr>
        <w:t>B</w:t>
      </w:r>
      <w:r w:rsidR="006121C0">
        <w:rPr>
          <w:rFonts w:ascii="Source Sans Pro" w:hAnsi="Source Sans Pro"/>
          <w:sz w:val="22"/>
        </w:rPr>
        <w:t xml:space="preserve">ritish </w:t>
      </w:r>
      <w:r w:rsidRPr="00E83BC2">
        <w:rPr>
          <w:rFonts w:ascii="Source Sans Pro" w:hAnsi="Source Sans Pro"/>
          <w:sz w:val="22"/>
        </w:rPr>
        <w:t>P</w:t>
      </w:r>
      <w:r w:rsidR="006121C0">
        <w:rPr>
          <w:rFonts w:ascii="Source Sans Pro" w:hAnsi="Source Sans Pro"/>
          <w:sz w:val="22"/>
        </w:rPr>
        <w:t xml:space="preserve">roperty </w:t>
      </w:r>
      <w:r w:rsidR="005F2BDD" w:rsidRPr="00E83BC2">
        <w:rPr>
          <w:rFonts w:ascii="Source Sans Pro" w:hAnsi="Source Sans Pro"/>
          <w:sz w:val="22"/>
        </w:rPr>
        <w:t>F</w:t>
      </w:r>
      <w:r w:rsidR="006121C0">
        <w:rPr>
          <w:rFonts w:ascii="Source Sans Pro" w:hAnsi="Source Sans Pro"/>
          <w:sz w:val="22"/>
        </w:rPr>
        <w:t>ederation</w:t>
      </w:r>
      <w:r w:rsidR="005F2BDD" w:rsidRPr="00E83BC2">
        <w:rPr>
          <w:rFonts w:ascii="Source Sans Pro" w:hAnsi="Source Sans Pro"/>
          <w:sz w:val="22"/>
        </w:rPr>
        <w:t>’s paper</w:t>
      </w:r>
      <w:r w:rsidR="006121C0">
        <w:rPr>
          <w:rFonts w:ascii="Source Sans Pro" w:hAnsi="Source Sans Pro"/>
          <w:sz w:val="22"/>
        </w:rPr>
        <w:t xml:space="preserve"> “</w:t>
      </w:r>
      <w:r w:rsidRPr="00E83BC2">
        <w:rPr>
          <w:rFonts w:ascii="Source Sans Pro" w:hAnsi="Source Sans Pro"/>
          <w:sz w:val="22"/>
        </w:rPr>
        <w:t>Levelling Up - The Logic of Logistics</w:t>
      </w:r>
      <w:r w:rsidRPr="00E83BC2">
        <w:rPr>
          <w:rStyle w:val="FootnoteReference"/>
          <w:rFonts w:ascii="Source Sans Pro" w:hAnsi="Source Sans Pro"/>
          <w:sz w:val="22"/>
        </w:rPr>
        <w:footnoteReference w:id="2"/>
      </w:r>
      <w:r w:rsidRPr="00E83BC2">
        <w:rPr>
          <w:rFonts w:ascii="Source Sans Pro" w:hAnsi="Source Sans Pro"/>
          <w:sz w:val="22"/>
        </w:rPr>
        <w:t>.</w:t>
      </w:r>
      <w:r w:rsidR="006121C0">
        <w:rPr>
          <w:rFonts w:ascii="Source Sans Pro" w:hAnsi="Source Sans Pro"/>
          <w:sz w:val="22"/>
        </w:rPr>
        <w:t>”</w:t>
      </w:r>
    </w:p>
    <w:p w14:paraId="4B6D6165" w14:textId="7CBF3813" w:rsidR="00290978" w:rsidRPr="00E83BC2" w:rsidRDefault="00CE36C6" w:rsidP="002A7C67">
      <w:pPr>
        <w:pStyle w:val="ListParagraph"/>
        <w:numPr>
          <w:ilvl w:val="0"/>
          <w:numId w:val="39"/>
        </w:numPr>
        <w:spacing w:before="240"/>
        <w:ind w:hanging="720"/>
        <w:contextualSpacing w:val="0"/>
        <w:jc w:val="both"/>
        <w:rPr>
          <w:rFonts w:ascii="Source Sans Pro" w:hAnsi="Source Sans Pro"/>
          <w:sz w:val="22"/>
        </w:rPr>
      </w:pPr>
      <w:r w:rsidRPr="00E83BC2">
        <w:rPr>
          <w:rFonts w:ascii="Source Sans Pro" w:hAnsi="Source Sans Pro"/>
          <w:sz w:val="22"/>
        </w:rPr>
        <w:lastRenderedPageBreak/>
        <w:t xml:space="preserve">Savills and St Modwen have developed a new methodology built upon the principle of suppressed demand, which accounts for demand lost due to shortages in supply.  It calculates the level of ‘suppressed demand’ which can be added to historic demand projections to give a more accurate picture of likely demand into the future.  </w:t>
      </w:r>
    </w:p>
    <w:p w14:paraId="4EC26DEA" w14:textId="0C04B819" w:rsidR="00CE36C6" w:rsidRPr="0050709C" w:rsidRDefault="00CE36C6" w:rsidP="00CE36C6">
      <w:pPr>
        <w:pStyle w:val="ListParagraph"/>
        <w:numPr>
          <w:ilvl w:val="0"/>
          <w:numId w:val="39"/>
        </w:numPr>
        <w:spacing w:before="240"/>
        <w:ind w:hanging="720"/>
        <w:contextualSpacing w:val="0"/>
        <w:jc w:val="both"/>
        <w:rPr>
          <w:rFonts w:ascii="Source Sans Pro" w:hAnsi="Source Sans Pro"/>
          <w:sz w:val="22"/>
        </w:rPr>
      </w:pPr>
      <w:r w:rsidRPr="0050709C">
        <w:rPr>
          <w:rFonts w:ascii="Source Sans Pro" w:hAnsi="Source Sans Pro"/>
          <w:sz w:val="22"/>
        </w:rPr>
        <w:t>The model estimates that in England</w:t>
      </w:r>
      <w:r w:rsidR="006121C0">
        <w:rPr>
          <w:rFonts w:ascii="Source Sans Pro" w:hAnsi="Source Sans Pro"/>
          <w:sz w:val="22"/>
        </w:rPr>
        <w:t>,</w:t>
      </w:r>
      <w:r w:rsidRPr="0050709C">
        <w:rPr>
          <w:rFonts w:ascii="Source Sans Pro" w:hAnsi="Source Sans Pro"/>
          <w:sz w:val="22"/>
        </w:rPr>
        <w:t xml:space="preserve"> future demand will be at least 29% higher than historic levels.  The model considers 19 key markets for industry and logistics across England, including Birmingham (which covers the Black Country) and Stoke/Stafford.  Both of these markets also have a suppressed demand uplift of 29%.  </w:t>
      </w:r>
    </w:p>
    <w:p w14:paraId="13FF7E9B" w14:textId="54DDCB6A" w:rsidR="00CE36C6" w:rsidRDefault="00CE36C6" w:rsidP="00CE36C6">
      <w:pPr>
        <w:pStyle w:val="ListParagraph"/>
        <w:numPr>
          <w:ilvl w:val="0"/>
          <w:numId w:val="39"/>
        </w:numPr>
        <w:spacing w:before="240"/>
        <w:ind w:hanging="720"/>
        <w:contextualSpacing w:val="0"/>
        <w:jc w:val="both"/>
        <w:rPr>
          <w:rFonts w:ascii="Source Sans Pro" w:hAnsi="Source Sans Pro"/>
          <w:sz w:val="22"/>
        </w:rPr>
      </w:pPr>
      <w:r w:rsidRPr="0050709C">
        <w:rPr>
          <w:rFonts w:ascii="Source Sans Pro" w:hAnsi="Source Sans Pro"/>
          <w:sz w:val="22"/>
        </w:rPr>
        <w:t xml:space="preserve">If such an uplift was applied to the adjusted past completions trend, which we consider should be assumed as a minimum of 127 hectares, this would generate an additional need of 37 hectares.  </w:t>
      </w:r>
      <w:r w:rsidR="005F2BDD">
        <w:rPr>
          <w:rFonts w:ascii="Source Sans Pro" w:hAnsi="Source Sans Pro"/>
          <w:sz w:val="22"/>
        </w:rPr>
        <w:t>If factored in, t</w:t>
      </w:r>
      <w:r w:rsidRPr="0050709C">
        <w:rPr>
          <w:rFonts w:ascii="Source Sans Pro" w:hAnsi="Source Sans Pro"/>
          <w:sz w:val="22"/>
        </w:rPr>
        <w:t xml:space="preserve">his </w:t>
      </w:r>
      <w:r w:rsidR="005F2BDD">
        <w:rPr>
          <w:rFonts w:ascii="Source Sans Pro" w:hAnsi="Source Sans Pro"/>
          <w:sz w:val="22"/>
        </w:rPr>
        <w:t>would</w:t>
      </w:r>
      <w:r w:rsidRPr="0050709C">
        <w:rPr>
          <w:rFonts w:ascii="Source Sans Pro" w:hAnsi="Source Sans Pro"/>
          <w:sz w:val="22"/>
        </w:rPr>
        <w:t xml:space="preserve"> increase the total need to </w:t>
      </w:r>
      <w:r w:rsidR="00243EF0">
        <w:rPr>
          <w:rFonts w:ascii="Source Sans Pro" w:hAnsi="Source Sans Pro"/>
          <w:sz w:val="22"/>
        </w:rPr>
        <w:t xml:space="preserve">a more appropriate </w:t>
      </w:r>
      <w:r w:rsidRPr="0050709C">
        <w:rPr>
          <w:rFonts w:ascii="Source Sans Pro" w:hAnsi="Source Sans Pro"/>
          <w:sz w:val="22"/>
        </w:rPr>
        <w:t>164 hectares for the plan period.</w:t>
      </w:r>
    </w:p>
    <w:p w14:paraId="5CF348E2" w14:textId="46B42ED2" w:rsidR="009B7A43" w:rsidRPr="00290978" w:rsidRDefault="009B7A43" w:rsidP="00197DA5">
      <w:pPr>
        <w:pStyle w:val="ListParagraph"/>
        <w:numPr>
          <w:ilvl w:val="0"/>
          <w:numId w:val="39"/>
        </w:numPr>
        <w:spacing w:before="240"/>
        <w:ind w:hanging="720"/>
        <w:contextualSpacing w:val="0"/>
        <w:jc w:val="both"/>
        <w:rPr>
          <w:rFonts w:ascii="Source Sans Pro" w:hAnsi="Source Sans Pro"/>
          <w:sz w:val="22"/>
        </w:rPr>
      </w:pPr>
      <w:r w:rsidRPr="00290978">
        <w:rPr>
          <w:rFonts w:ascii="Source Sans Pro" w:hAnsi="Source Sans Pro"/>
          <w:sz w:val="22"/>
        </w:rPr>
        <w:t xml:space="preserve">The strength of the market for industrial and warehouse sectors over the last few years have been well chronicled.  Essentially, demand levels have surged, albeit from </w:t>
      </w:r>
      <w:r w:rsidR="006121C0">
        <w:rPr>
          <w:rFonts w:ascii="Source Sans Pro" w:hAnsi="Source Sans Pro"/>
          <w:sz w:val="22"/>
        </w:rPr>
        <w:t xml:space="preserve">an </w:t>
      </w:r>
      <w:r w:rsidRPr="00290978">
        <w:rPr>
          <w:rFonts w:ascii="Source Sans Pro" w:hAnsi="Source Sans Pro"/>
          <w:sz w:val="22"/>
        </w:rPr>
        <w:t>already high base.  The greater use of e-commerce has been a particular factor behind growth in demand over the last three years.  However, there have been other factors, including: -</w:t>
      </w:r>
    </w:p>
    <w:p w14:paraId="7C3FDBD1" w14:textId="77777777" w:rsidR="009B7A43" w:rsidRDefault="009B7A43" w:rsidP="009B7A43">
      <w:pPr>
        <w:pStyle w:val="ListParagraph"/>
        <w:contextualSpacing w:val="0"/>
        <w:jc w:val="both"/>
        <w:rPr>
          <w:rFonts w:ascii="Source Sans Pro" w:hAnsi="Source Sans Pro"/>
          <w:sz w:val="22"/>
        </w:rPr>
      </w:pPr>
    </w:p>
    <w:p w14:paraId="38E0D956" w14:textId="46878F5F" w:rsidR="009B7A43" w:rsidRPr="0080612E" w:rsidRDefault="009B7A43" w:rsidP="009B7A43">
      <w:pPr>
        <w:pStyle w:val="BulletOneJLL"/>
        <w:numPr>
          <w:ilvl w:val="0"/>
          <w:numId w:val="38"/>
        </w:numPr>
        <w:tabs>
          <w:tab w:val="left" w:pos="1276"/>
        </w:tabs>
        <w:spacing w:line="240" w:lineRule="auto"/>
        <w:ind w:left="1276" w:hanging="567"/>
      </w:pPr>
      <w:r w:rsidRPr="0080612E">
        <w:t>Re</w:t>
      </w:r>
      <w:r w:rsidR="005F2BDD">
        <w:t>-</w:t>
      </w:r>
      <w:r w:rsidRPr="0080612E">
        <w:t xml:space="preserve">shoring of industrial </w:t>
      </w:r>
      <w:r w:rsidR="006121C0">
        <w:t xml:space="preserve">&amp; manufacturing </w:t>
      </w:r>
      <w:r w:rsidRPr="0080612E">
        <w:t xml:space="preserve">activities because of Covid-19 and Brexit. </w:t>
      </w:r>
    </w:p>
    <w:p w14:paraId="24FE8E30" w14:textId="77777777" w:rsidR="009B7A43" w:rsidRPr="0080612E" w:rsidRDefault="009B7A43" w:rsidP="009B7A43">
      <w:pPr>
        <w:pStyle w:val="BulletOneJLL"/>
        <w:numPr>
          <w:ilvl w:val="0"/>
          <w:numId w:val="38"/>
        </w:numPr>
        <w:tabs>
          <w:tab w:val="left" w:pos="1276"/>
        </w:tabs>
        <w:spacing w:line="240" w:lineRule="auto"/>
        <w:ind w:left="1276" w:hanging="567"/>
      </w:pPr>
      <w:r w:rsidRPr="0080612E">
        <w:t>‘Just in case’ approach replacing the ‘just in time’ practices to ensure greater resilience to supply chain networks.</w:t>
      </w:r>
    </w:p>
    <w:p w14:paraId="54A18806" w14:textId="4ED71B56" w:rsidR="009B7A43" w:rsidRPr="0080612E" w:rsidRDefault="009B7A43" w:rsidP="009B7A43">
      <w:pPr>
        <w:pStyle w:val="BulletOneJLL"/>
        <w:numPr>
          <w:ilvl w:val="0"/>
          <w:numId w:val="38"/>
        </w:numPr>
        <w:tabs>
          <w:tab w:val="left" w:pos="1276"/>
        </w:tabs>
        <w:spacing w:line="240" w:lineRule="auto"/>
        <w:ind w:left="1276" w:hanging="567"/>
      </w:pPr>
      <w:r w:rsidRPr="0080612E">
        <w:t>New industries emerging, such as electrical vehicle and component parts (e.g batter</w:t>
      </w:r>
      <w:r>
        <w:t>y production</w:t>
      </w:r>
      <w:r w:rsidRPr="0080612E">
        <w:t>).</w:t>
      </w:r>
    </w:p>
    <w:p w14:paraId="53EC3E0C" w14:textId="0974FE77" w:rsidR="009B7A43" w:rsidRDefault="009B7A43" w:rsidP="009B7A43">
      <w:pPr>
        <w:pStyle w:val="BulletOneJLL"/>
        <w:numPr>
          <w:ilvl w:val="0"/>
          <w:numId w:val="38"/>
        </w:numPr>
        <w:tabs>
          <w:tab w:val="left" w:pos="1276"/>
        </w:tabs>
        <w:spacing w:after="0" w:line="240" w:lineRule="auto"/>
        <w:ind w:left="1276" w:hanging="567"/>
      </w:pPr>
      <w:r w:rsidRPr="0080612E">
        <w:t>Increasing ESG requirements</w:t>
      </w:r>
      <w:r>
        <w:t xml:space="preserve"> for companies</w:t>
      </w:r>
      <w:r w:rsidRPr="0080612E">
        <w:t xml:space="preserve"> as part of the decarbonisation agenda</w:t>
      </w:r>
      <w:r w:rsidR="006121C0">
        <w:t>, requiring more modern buildings.</w:t>
      </w:r>
      <w:r w:rsidRPr="0080612E">
        <w:t xml:space="preserve"> </w:t>
      </w:r>
    </w:p>
    <w:p w14:paraId="29153378" w14:textId="77777777" w:rsidR="009B7A43" w:rsidRPr="0080612E" w:rsidRDefault="009B7A43" w:rsidP="009B7A43">
      <w:pPr>
        <w:pStyle w:val="BulletOneJLL"/>
        <w:tabs>
          <w:tab w:val="left" w:pos="1276"/>
        </w:tabs>
        <w:spacing w:after="0" w:line="240" w:lineRule="auto"/>
        <w:ind w:left="1276" w:firstLine="0"/>
      </w:pPr>
    </w:p>
    <w:p w14:paraId="2D6445A8" w14:textId="77777777" w:rsidR="009B7A43" w:rsidRDefault="009B7A43" w:rsidP="009B7A43">
      <w:pPr>
        <w:pStyle w:val="ListParagraph"/>
        <w:numPr>
          <w:ilvl w:val="0"/>
          <w:numId w:val="39"/>
        </w:numPr>
        <w:ind w:hanging="720"/>
        <w:contextualSpacing w:val="0"/>
        <w:jc w:val="both"/>
        <w:rPr>
          <w:rFonts w:ascii="Source Sans Pro" w:hAnsi="Source Sans Pro"/>
          <w:sz w:val="22"/>
        </w:rPr>
      </w:pPr>
      <w:r w:rsidRPr="0080612E">
        <w:rPr>
          <w:rFonts w:ascii="Source Sans Pro" w:hAnsi="Source Sans Pro"/>
          <w:sz w:val="22"/>
        </w:rPr>
        <w:t>The increase in demand has led to:</w:t>
      </w:r>
      <w:r>
        <w:rPr>
          <w:rFonts w:ascii="Source Sans Pro" w:hAnsi="Source Sans Pro"/>
          <w:sz w:val="22"/>
        </w:rPr>
        <w:t xml:space="preserve"> </w:t>
      </w:r>
      <w:r w:rsidRPr="0080612E">
        <w:rPr>
          <w:rFonts w:ascii="Source Sans Pro" w:hAnsi="Source Sans Pro"/>
          <w:sz w:val="22"/>
        </w:rPr>
        <w:t>-</w:t>
      </w:r>
    </w:p>
    <w:p w14:paraId="7AD1074F" w14:textId="77777777" w:rsidR="009B7A43" w:rsidRDefault="009B7A43" w:rsidP="009B7A43">
      <w:pPr>
        <w:pStyle w:val="ListParagraph"/>
        <w:contextualSpacing w:val="0"/>
        <w:jc w:val="both"/>
        <w:rPr>
          <w:rFonts w:ascii="Source Sans Pro" w:hAnsi="Source Sans Pro"/>
          <w:sz w:val="22"/>
        </w:rPr>
      </w:pPr>
    </w:p>
    <w:p w14:paraId="40125444" w14:textId="6852DC57" w:rsidR="009B7A43" w:rsidRPr="0080612E" w:rsidRDefault="006121C0" w:rsidP="009B7A43">
      <w:pPr>
        <w:pStyle w:val="BulletOneJLL"/>
        <w:numPr>
          <w:ilvl w:val="0"/>
          <w:numId w:val="38"/>
        </w:numPr>
        <w:tabs>
          <w:tab w:val="left" w:pos="1276"/>
        </w:tabs>
        <w:spacing w:line="240" w:lineRule="auto"/>
        <w:ind w:left="1276" w:hanging="567"/>
      </w:pPr>
      <w:r>
        <w:t>A s</w:t>
      </w:r>
      <w:r w:rsidR="009B7A43" w:rsidRPr="0080612E">
        <w:t>ignificant increase in speculative development, illustrating the confidence of developers and investors.</w:t>
      </w:r>
    </w:p>
    <w:p w14:paraId="1A378434" w14:textId="77777777" w:rsidR="009B7A43" w:rsidRPr="0080612E" w:rsidRDefault="009B7A43" w:rsidP="009B7A43">
      <w:pPr>
        <w:pStyle w:val="BulletOneJLL"/>
        <w:numPr>
          <w:ilvl w:val="0"/>
          <w:numId w:val="38"/>
        </w:numPr>
        <w:tabs>
          <w:tab w:val="left" w:pos="1276"/>
        </w:tabs>
        <w:spacing w:line="240" w:lineRule="auto"/>
        <w:ind w:left="1276" w:hanging="567"/>
      </w:pPr>
      <w:r w:rsidRPr="0080612E">
        <w:t xml:space="preserve">Vacancy rates falling to an all-time low. </w:t>
      </w:r>
    </w:p>
    <w:p w14:paraId="5ED78E03" w14:textId="4FC38F14" w:rsidR="009B7A43" w:rsidRPr="0080612E" w:rsidRDefault="009B7A43" w:rsidP="009B7A43">
      <w:pPr>
        <w:pStyle w:val="BulletOneJLL"/>
        <w:numPr>
          <w:ilvl w:val="0"/>
          <w:numId w:val="38"/>
        </w:numPr>
        <w:tabs>
          <w:tab w:val="left" w:pos="1276"/>
        </w:tabs>
        <w:spacing w:line="240" w:lineRule="auto"/>
        <w:ind w:left="1276" w:hanging="567"/>
      </w:pPr>
      <w:r w:rsidRPr="0080612E">
        <w:t>Dramatic increases in rents.</w:t>
      </w:r>
    </w:p>
    <w:p w14:paraId="0E70021A" w14:textId="77777777" w:rsidR="009B7A43" w:rsidRDefault="009B7A43" w:rsidP="009B7A43">
      <w:pPr>
        <w:pStyle w:val="BulletOneJLL"/>
        <w:numPr>
          <w:ilvl w:val="0"/>
          <w:numId w:val="38"/>
        </w:numPr>
        <w:tabs>
          <w:tab w:val="left" w:pos="1276"/>
        </w:tabs>
        <w:spacing w:after="0" w:line="240" w:lineRule="auto"/>
        <w:ind w:left="1276" w:hanging="567"/>
      </w:pPr>
      <w:r w:rsidRPr="0080612E">
        <w:t xml:space="preserve">Reduced voids and letting periods. </w:t>
      </w:r>
    </w:p>
    <w:p w14:paraId="7ECCACA9" w14:textId="68ED2368" w:rsidR="00CE36C6" w:rsidRDefault="00CE36C6" w:rsidP="00CE36C6">
      <w:pPr>
        <w:pStyle w:val="ListParagraph"/>
        <w:numPr>
          <w:ilvl w:val="0"/>
          <w:numId w:val="39"/>
        </w:numPr>
        <w:spacing w:before="240"/>
        <w:ind w:hanging="720"/>
        <w:contextualSpacing w:val="0"/>
        <w:jc w:val="both"/>
        <w:rPr>
          <w:rFonts w:ascii="Source Sans Pro" w:hAnsi="Source Sans Pro"/>
          <w:sz w:val="22"/>
        </w:rPr>
      </w:pPr>
      <w:r w:rsidRPr="0050709C">
        <w:rPr>
          <w:rFonts w:ascii="Source Sans Pro" w:hAnsi="Source Sans Pro"/>
          <w:sz w:val="22"/>
        </w:rPr>
        <w:t xml:space="preserve">The increases in rents for industrial and logistics property have been particularly marked.  </w:t>
      </w:r>
      <w:r w:rsidR="005F2BDD">
        <w:rPr>
          <w:rFonts w:ascii="Source Sans Pro" w:hAnsi="Source Sans Pro"/>
          <w:sz w:val="22"/>
        </w:rPr>
        <w:t>R</w:t>
      </w:r>
      <w:r w:rsidRPr="0050709C">
        <w:rPr>
          <w:rFonts w:ascii="Source Sans Pro" w:hAnsi="Source Sans Pro"/>
          <w:sz w:val="22"/>
        </w:rPr>
        <w:t>ents for prime industrial and mid</w:t>
      </w:r>
      <w:r w:rsidR="005F2BDD">
        <w:rPr>
          <w:rFonts w:ascii="Source Sans Pro" w:hAnsi="Source Sans Pro"/>
          <w:sz w:val="22"/>
        </w:rPr>
        <w:t>-</w:t>
      </w:r>
      <w:r w:rsidRPr="0050709C">
        <w:rPr>
          <w:rFonts w:ascii="Source Sans Pro" w:hAnsi="Source Sans Pro"/>
          <w:sz w:val="22"/>
        </w:rPr>
        <w:t>box size</w:t>
      </w:r>
      <w:r w:rsidR="005F2BDD">
        <w:rPr>
          <w:rFonts w:ascii="Source Sans Pro" w:hAnsi="Source Sans Pro"/>
          <w:sz w:val="22"/>
        </w:rPr>
        <w:t>d</w:t>
      </w:r>
      <w:r w:rsidRPr="0050709C">
        <w:rPr>
          <w:rFonts w:ascii="Source Sans Pro" w:hAnsi="Source Sans Pro"/>
          <w:sz w:val="22"/>
        </w:rPr>
        <w:t xml:space="preserve"> units have increased by 4.7% per year in the Black Country and by 6.5% per annum in Birmingham over the last five complete years (2017 to 2021).</w:t>
      </w:r>
    </w:p>
    <w:p w14:paraId="0F6A5D0D" w14:textId="77777777" w:rsidR="009B7A43" w:rsidRDefault="009B7A43" w:rsidP="009B7A43">
      <w:pPr>
        <w:pStyle w:val="ListParagraph"/>
        <w:spacing w:before="240"/>
        <w:contextualSpacing w:val="0"/>
        <w:jc w:val="both"/>
        <w:rPr>
          <w:rFonts w:ascii="Source Sans Pro" w:hAnsi="Source Sans Pro"/>
          <w:sz w:val="22"/>
        </w:rPr>
      </w:pPr>
    </w:p>
    <w:p w14:paraId="3553BA18" w14:textId="578E410A" w:rsidR="009B7A43" w:rsidRDefault="009B7A43" w:rsidP="009B7A43">
      <w:pPr>
        <w:pStyle w:val="ListParagraph"/>
        <w:numPr>
          <w:ilvl w:val="0"/>
          <w:numId w:val="39"/>
        </w:numPr>
        <w:ind w:hanging="720"/>
        <w:contextualSpacing w:val="0"/>
        <w:jc w:val="both"/>
        <w:rPr>
          <w:rFonts w:ascii="Source Sans Pro" w:hAnsi="Source Sans Pro"/>
          <w:sz w:val="22"/>
        </w:rPr>
      </w:pPr>
      <w:r w:rsidRPr="0080612E">
        <w:rPr>
          <w:rFonts w:ascii="Source Sans Pro" w:hAnsi="Source Sans Pro"/>
          <w:sz w:val="22"/>
        </w:rPr>
        <w:t>Despite obvious economic headwinds, JLL remain</w:t>
      </w:r>
      <w:r w:rsidR="006121C0">
        <w:rPr>
          <w:rFonts w:ascii="Source Sans Pro" w:hAnsi="Source Sans Pro"/>
          <w:sz w:val="22"/>
        </w:rPr>
        <w:t>s</w:t>
      </w:r>
      <w:r w:rsidRPr="0080612E">
        <w:rPr>
          <w:rFonts w:ascii="Source Sans Pro" w:hAnsi="Source Sans Pro"/>
          <w:sz w:val="22"/>
        </w:rPr>
        <w:t xml:space="preserve"> confident that occupational demand will continue</w:t>
      </w:r>
      <w:r>
        <w:rPr>
          <w:rFonts w:ascii="Source Sans Pro" w:hAnsi="Source Sans Pro"/>
          <w:sz w:val="22"/>
        </w:rPr>
        <w:t xml:space="preserve"> to remain high</w:t>
      </w:r>
      <w:r w:rsidRPr="0080612E">
        <w:rPr>
          <w:rFonts w:ascii="Source Sans Pro" w:hAnsi="Source Sans Pro"/>
          <w:sz w:val="22"/>
        </w:rPr>
        <w:t xml:space="preserve">. We are receiving a </w:t>
      </w:r>
      <w:r w:rsidR="00243EF0">
        <w:rPr>
          <w:rFonts w:ascii="Source Sans Pro" w:hAnsi="Source Sans Pro"/>
          <w:sz w:val="22"/>
        </w:rPr>
        <w:t xml:space="preserve">very </w:t>
      </w:r>
      <w:r w:rsidRPr="0080612E">
        <w:rPr>
          <w:rFonts w:ascii="Source Sans Pro" w:hAnsi="Source Sans Pro"/>
          <w:sz w:val="22"/>
        </w:rPr>
        <w:t>healthy number of enquiries, with companies recognising they still need to invest in resilient and sustainable supply chains in order to meet the continuing</w:t>
      </w:r>
      <w:r>
        <w:rPr>
          <w:rFonts w:ascii="Source Sans Pro" w:hAnsi="Source Sans Pro"/>
          <w:sz w:val="22"/>
        </w:rPr>
        <w:t>,</w:t>
      </w:r>
      <w:r w:rsidRPr="0080612E">
        <w:rPr>
          <w:rFonts w:ascii="Source Sans Pro" w:hAnsi="Source Sans Pro"/>
          <w:sz w:val="22"/>
        </w:rPr>
        <w:t xml:space="preserve"> and often changing, needs of their customers.  </w:t>
      </w:r>
    </w:p>
    <w:p w14:paraId="16C21AB9" w14:textId="77777777" w:rsidR="009B7A43" w:rsidRPr="009B7A43" w:rsidRDefault="009B7A43" w:rsidP="009B7A43">
      <w:pPr>
        <w:pStyle w:val="ListParagraph"/>
        <w:rPr>
          <w:rFonts w:ascii="Source Sans Pro" w:hAnsi="Source Sans Pro"/>
          <w:sz w:val="22"/>
        </w:rPr>
      </w:pPr>
    </w:p>
    <w:p w14:paraId="43C925F6" w14:textId="77777777" w:rsidR="009B7A43" w:rsidRDefault="009B7A43" w:rsidP="009B7A43">
      <w:pPr>
        <w:pStyle w:val="ListParagraph"/>
        <w:contextualSpacing w:val="0"/>
        <w:jc w:val="both"/>
        <w:rPr>
          <w:rFonts w:ascii="Source Sans Pro" w:hAnsi="Source Sans Pro"/>
          <w:sz w:val="22"/>
        </w:rPr>
      </w:pPr>
    </w:p>
    <w:p w14:paraId="1F50D38C" w14:textId="4DDBEFE3" w:rsidR="009B7A43" w:rsidRDefault="009B7A43" w:rsidP="009B7A43">
      <w:pPr>
        <w:pStyle w:val="ListParagraph"/>
        <w:numPr>
          <w:ilvl w:val="0"/>
          <w:numId w:val="39"/>
        </w:numPr>
        <w:ind w:hanging="720"/>
        <w:contextualSpacing w:val="0"/>
        <w:jc w:val="both"/>
        <w:rPr>
          <w:rFonts w:ascii="Source Sans Pro" w:hAnsi="Source Sans Pro"/>
          <w:sz w:val="22"/>
        </w:rPr>
      </w:pPr>
      <w:r w:rsidRPr="0080612E">
        <w:rPr>
          <w:rFonts w:ascii="Source Sans Pro" w:hAnsi="Source Sans Pro"/>
          <w:sz w:val="22"/>
        </w:rPr>
        <w:t>All these market signals represent a</w:t>
      </w:r>
      <w:r w:rsidR="00243EF0">
        <w:rPr>
          <w:rFonts w:ascii="Source Sans Pro" w:hAnsi="Source Sans Pro"/>
          <w:sz w:val="22"/>
        </w:rPr>
        <w:t xml:space="preserve"> significant</w:t>
      </w:r>
      <w:r w:rsidRPr="0080612E">
        <w:rPr>
          <w:rFonts w:ascii="Source Sans Pro" w:hAnsi="Source Sans Pro"/>
          <w:sz w:val="22"/>
        </w:rPr>
        <w:t xml:space="preserve"> imbalance of demand over supply.  This has led to an absorption rate of development land that is far quicker than the development plan</w:t>
      </w:r>
      <w:r w:rsidR="005F2BDD">
        <w:rPr>
          <w:rFonts w:ascii="Source Sans Pro" w:hAnsi="Source Sans Pro"/>
          <w:sz w:val="22"/>
        </w:rPr>
        <w:t>-</w:t>
      </w:r>
      <w:r w:rsidRPr="0080612E">
        <w:rPr>
          <w:rFonts w:ascii="Source Sans Pro" w:hAnsi="Source Sans Pro"/>
          <w:sz w:val="22"/>
        </w:rPr>
        <w:t>making process</w:t>
      </w:r>
      <w:r>
        <w:rPr>
          <w:rFonts w:ascii="Source Sans Pro" w:hAnsi="Source Sans Pro"/>
          <w:sz w:val="22"/>
        </w:rPr>
        <w:t xml:space="preserve"> can sustain</w:t>
      </w:r>
      <w:r w:rsidRPr="0080612E">
        <w:rPr>
          <w:rFonts w:ascii="Source Sans Pro" w:hAnsi="Source Sans Pro"/>
          <w:sz w:val="22"/>
        </w:rPr>
        <w:t xml:space="preserve">.  In </w:t>
      </w:r>
      <w:r w:rsidR="00E83BC2">
        <w:rPr>
          <w:rFonts w:ascii="Source Sans Pro" w:hAnsi="Source Sans Pro"/>
          <w:sz w:val="22"/>
        </w:rPr>
        <w:t>many</w:t>
      </w:r>
      <w:r w:rsidRPr="0080612E">
        <w:rPr>
          <w:rFonts w:ascii="Source Sans Pro" w:hAnsi="Source Sans Pro"/>
          <w:sz w:val="22"/>
        </w:rPr>
        <w:t xml:space="preserve"> locations, </w:t>
      </w:r>
      <w:r w:rsidR="00E83BC2">
        <w:rPr>
          <w:rFonts w:ascii="Source Sans Pro" w:hAnsi="Source Sans Pro"/>
          <w:sz w:val="22"/>
        </w:rPr>
        <w:t xml:space="preserve">and particularly in and around the main conurbation to Birmingham and the Black Country, </w:t>
      </w:r>
      <w:r w:rsidRPr="0080612E">
        <w:rPr>
          <w:rFonts w:ascii="Source Sans Pro" w:hAnsi="Source Sans Pro"/>
          <w:sz w:val="22"/>
        </w:rPr>
        <w:t xml:space="preserve">the level of consented development land is very </w:t>
      </w:r>
      <w:r w:rsidR="008C09CB">
        <w:rPr>
          <w:rFonts w:ascii="Source Sans Pro" w:hAnsi="Source Sans Pro"/>
          <w:sz w:val="22"/>
        </w:rPr>
        <w:t>limited</w:t>
      </w:r>
      <w:r w:rsidRPr="0080612E">
        <w:rPr>
          <w:rFonts w:ascii="Source Sans Pro" w:hAnsi="Source Sans Pro"/>
          <w:sz w:val="22"/>
        </w:rPr>
        <w:t xml:space="preserve"> and with no discernible supply within the pipeline.  </w:t>
      </w:r>
    </w:p>
    <w:p w14:paraId="0BD6E60A" w14:textId="098EC217" w:rsidR="00CE36C6" w:rsidRDefault="00CE36C6" w:rsidP="00CE36C6">
      <w:pPr>
        <w:pStyle w:val="ListParagraph"/>
        <w:numPr>
          <w:ilvl w:val="0"/>
          <w:numId w:val="39"/>
        </w:numPr>
        <w:spacing w:before="240"/>
        <w:ind w:hanging="720"/>
        <w:contextualSpacing w:val="0"/>
        <w:jc w:val="both"/>
        <w:rPr>
          <w:rFonts w:ascii="Source Sans Pro" w:hAnsi="Source Sans Pro"/>
          <w:sz w:val="22"/>
        </w:rPr>
      </w:pPr>
      <w:r w:rsidRPr="0050709C">
        <w:rPr>
          <w:rFonts w:ascii="Source Sans Pro" w:hAnsi="Source Sans Pro"/>
          <w:sz w:val="22"/>
        </w:rPr>
        <w:t>A contraction in the rate and pace of development, as proposed by the plan, will run directly against these market signals.  Providing less, rather than more, land will exacerbate the current imbalance of demand over supply and prevent the local plan</w:t>
      </w:r>
      <w:r w:rsidR="008C09CB">
        <w:rPr>
          <w:rFonts w:ascii="Source Sans Pro" w:hAnsi="Source Sans Pro"/>
          <w:sz w:val="22"/>
        </w:rPr>
        <w:t>ning</w:t>
      </w:r>
      <w:r w:rsidRPr="0050709C">
        <w:rPr>
          <w:rFonts w:ascii="Source Sans Pro" w:hAnsi="Source Sans Pro"/>
          <w:sz w:val="22"/>
        </w:rPr>
        <w:t xml:space="preserve"> authority achieving its vision of economic growth and attracting inward investment.  </w:t>
      </w:r>
    </w:p>
    <w:p w14:paraId="4E43C9CD" w14:textId="77777777" w:rsidR="00CE36C6" w:rsidRPr="00A60838" w:rsidRDefault="00CE36C6" w:rsidP="00CE36C6">
      <w:pPr>
        <w:pStyle w:val="ListParagraph"/>
        <w:spacing w:before="240"/>
        <w:contextualSpacing w:val="0"/>
        <w:jc w:val="both"/>
        <w:rPr>
          <w:rFonts w:ascii="Source Sans Pro" w:hAnsi="Source Sans Pro"/>
          <w:b/>
          <w:bCs/>
          <w:i/>
          <w:iCs/>
          <w:sz w:val="22"/>
        </w:rPr>
      </w:pPr>
      <w:r>
        <w:rPr>
          <w:rFonts w:ascii="Source Sans Pro" w:hAnsi="Source Sans Pro"/>
          <w:b/>
          <w:bCs/>
          <w:i/>
          <w:iCs/>
          <w:sz w:val="22"/>
        </w:rPr>
        <w:t xml:space="preserve">Supply </w:t>
      </w:r>
    </w:p>
    <w:p w14:paraId="19A191D8" w14:textId="428F337B" w:rsidR="00CE36C6" w:rsidRPr="00A60838" w:rsidRDefault="00CE36C6" w:rsidP="00CE36C6">
      <w:pPr>
        <w:pStyle w:val="ListParagraph"/>
        <w:numPr>
          <w:ilvl w:val="0"/>
          <w:numId w:val="39"/>
        </w:numPr>
        <w:spacing w:before="240"/>
        <w:ind w:hanging="720"/>
        <w:contextualSpacing w:val="0"/>
        <w:jc w:val="both"/>
        <w:rPr>
          <w:rFonts w:ascii="Source Sans Pro" w:hAnsi="Source Sans Pro"/>
          <w:sz w:val="22"/>
        </w:rPr>
      </w:pPr>
      <w:r w:rsidRPr="00A60838">
        <w:rPr>
          <w:rFonts w:ascii="Source Sans Pro" w:hAnsi="Source Sans Pro"/>
          <w:sz w:val="22"/>
        </w:rPr>
        <w:t xml:space="preserve">Paragraph 5.58 refers to the EDNA considering the supply of </w:t>
      </w:r>
      <w:r w:rsidR="00A04296">
        <w:rPr>
          <w:rFonts w:ascii="Source Sans Pro" w:hAnsi="Source Sans Pro"/>
          <w:sz w:val="22"/>
        </w:rPr>
        <w:t xml:space="preserve">available </w:t>
      </w:r>
      <w:r w:rsidRPr="00A60838">
        <w:rPr>
          <w:rFonts w:ascii="Source Sans Pro" w:hAnsi="Source Sans Pro"/>
          <w:sz w:val="22"/>
        </w:rPr>
        <w:t xml:space="preserve">employment </w:t>
      </w:r>
      <w:r w:rsidR="00A04296">
        <w:rPr>
          <w:rFonts w:ascii="Source Sans Pro" w:hAnsi="Source Sans Pro"/>
          <w:sz w:val="22"/>
        </w:rPr>
        <w:t xml:space="preserve">development </w:t>
      </w:r>
      <w:r w:rsidRPr="00A60838">
        <w:rPr>
          <w:rFonts w:ascii="Source Sans Pro" w:hAnsi="Source Sans Pro"/>
          <w:sz w:val="22"/>
        </w:rPr>
        <w:t>land</w:t>
      </w:r>
      <w:r w:rsidR="00A04296">
        <w:rPr>
          <w:rFonts w:ascii="Source Sans Pro" w:hAnsi="Source Sans Pro"/>
          <w:sz w:val="22"/>
        </w:rPr>
        <w:t xml:space="preserve"> within the district</w:t>
      </w:r>
      <w:r w:rsidRPr="00A60838">
        <w:rPr>
          <w:rFonts w:ascii="Source Sans Pro" w:hAnsi="Source Sans Pro"/>
          <w:sz w:val="22"/>
        </w:rPr>
        <w:t xml:space="preserve"> to be 99 hectares at the base date of April 2020.  No breakdown on the site</w:t>
      </w:r>
      <w:r w:rsidR="00A04296">
        <w:rPr>
          <w:rFonts w:ascii="Source Sans Pro" w:hAnsi="Source Sans Pro"/>
          <w:sz w:val="22"/>
        </w:rPr>
        <w:t>s</w:t>
      </w:r>
      <w:r w:rsidRPr="00A60838">
        <w:rPr>
          <w:rFonts w:ascii="Source Sans Pro" w:hAnsi="Source Sans Pro"/>
          <w:sz w:val="22"/>
        </w:rPr>
        <w:t xml:space="preserve"> is provided in the EDNA.  However, a breakdown is provided in the schedule on page 82 of the draft </w:t>
      </w:r>
      <w:r w:rsidR="00A04296">
        <w:rPr>
          <w:rFonts w:ascii="Source Sans Pro" w:hAnsi="Source Sans Pro"/>
          <w:sz w:val="22"/>
        </w:rPr>
        <w:t>P</w:t>
      </w:r>
      <w:r w:rsidRPr="00A60838">
        <w:rPr>
          <w:rFonts w:ascii="Source Sans Pro" w:hAnsi="Source Sans Pro"/>
          <w:sz w:val="22"/>
        </w:rPr>
        <w:t xml:space="preserve">lan, as part of the context for </w:t>
      </w:r>
      <w:r w:rsidR="00A04296">
        <w:rPr>
          <w:rFonts w:ascii="Source Sans Pro" w:hAnsi="Source Sans Pro"/>
          <w:sz w:val="22"/>
        </w:rPr>
        <w:t>P</w:t>
      </w:r>
      <w:r w:rsidRPr="00A60838">
        <w:rPr>
          <w:rFonts w:ascii="Source Sans Pro" w:hAnsi="Source Sans Pro"/>
          <w:sz w:val="22"/>
        </w:rPr>
        <w:t xml:space="preserve">olicy SA7 - </w:t>
      </w:r>
      <w:r w:rsidR="00A04296">
        <w:rPr>
          <w:rFonts w:ascii="Source Sans Pro" w:hAnsi="Source Sans Pro"/>
          <w:sz w:val="22"/>
        </w:rPr>
        <w:t>E</w:t>
      </w:r>
      <w:r w:rsidRPr="00A60838">
        <w:rPr>
          <w:rFonts w:ascii="Source Sans Pro" w:hAnsi="Source Sans Pro"/>
          <w:sz w:val="22"/>
        </w:rPr>
        <w:t xml:space="preserve">mployment </w:t>
      </w:r>
      <w:r w:rsidR="00A04296">
        <w:rPr>
          <w:rFonts w:ascii="Source Sans Pro" w:hAnsi="Source Sans Pro"/>
          <w:sz w:val="22"/>
        </w:rPr>
        <w:t>A</w:t>
      </w:r>
      <w:r w:rsidRPr="00A60838">
        <w:rPr>
          <w:rFonts w:ascii="Source Sans Pro" w:hAnsi="Source Sans Pro"/>
          <w:sz w:val="22"/>
        </w:rPr>
        <w:t xml:space="preserve">llocations.  </w:t>
      </w:r>
    </w:p>
    <w:p w14:paraId="6664D32C" w14:textId="6D1E13C0" w:rsidR="00CE36C6" w:rsidRPr="00A60838" w:rsidRDefault="00CE36C6" w:rsidP="00CE36C6">
      <w:pPr>
        <w:pStyle w:val="ListParagraph"/>
        <w:numPr>
          <w:ilvl w:val="0"/>
          <w:numId w:val="39"/>
        </w:numPr>
        <w:spacing w:before="240"/>
        <w:ind w:hanging="720"/>
        <w:contextualSpacing w:val="0"/>
        <w:jc w:val="both"/>
        <w:rPr>
          <w:rFonts w:ascii="Source Sans Pro" w:hAnsi="Source Sans Pro"/>
          <w:sz w:val="22"/>
        </w:rPr>
      </w:pPr>
      <w:r w:rsidRPr="00A60838">
        <w:rPr>
          <w:rFonts w:ascii="Source Sans Pro" w:hAnsi="Source Sans Pro"/>
          <w:sz w:val="22"/>
        </w:rPr>
        <w:t xml:space="preserve">This </w:t>
      </w:r>
      <w:r w:rsidR="00A04296">
        <w:rPr>
          <w:rFonts w:ascii="Source Sans Pro" w:hAnsi="Source Sans Pro"/>
          <w:sz w:val="22"/>
        </w:rPr>
        <w:t>schedule</w:t>
      </w:r>
      <w:r w:rsidRPr="00A60838">
        <w:rPr>
          <w:rFonts w:ascii="Source Sans Pro" w:hAnsi="Source Sans Pro"/>
          <w:sz w:val="22"/>
        </w:rPr>
        <w:t xml:space="preserve"> provides a total of 95.4 hectares (less West Midlands </w:t>
      </w:r>
      <w:r w:rsidR="00A04296">
        <w:rPr>
          <w:rFonts w:ascii="Source Sans Pro" w:hAnsi="Source Sans Pro"/>
          <w:sz w:val="22"/>
        </w:rPr>
        <w:t>I</w:t>
      </w:r>
      <w:r w:rsidRPr="00A60838">
        <w:rPr>
          <w:rFonts w:ascii="Source Sans Pro" w:hAnsi="Source Sans Pro"/>
          <w:sz w:val="22"/>
        </w:rPr>
        <w:t>nterchange</w:t>
      </w:r>
      <w:r w:rsidR="00A04296">
        <w:rPr>
          <w:rFonts w:ascii="Source Sans Pro" w:hAnsi="Source Sans Pro"/>
          <w:sz w:val="22"/>
        </w:rPr>
        <w:t xml:space="preserve"> (WMI)</w:t>
      </w:r>
      <w:r w:rsidRPr="00A60838">
        <w:rPr>
          <w:rFonts w:ascii="Source Sans Pro" w:hAnsi="Source Sans Pro"/>
          <w:sz w:val="22"/>
        </w:rPr>
        <w:t xml:space="preserve">).   JLL understands a small windfall allowance takes the total to 99 hectares and it is this figure that is referred to in </w:t>
      </w:r>
      <w:r w:rsidR="00A04296">
        <w:rPr>
          <w:rFonts w:ascii="Source Sans Pro" w:hAnsi="Source Sans Pro"/>
          <w:sz w:val="22"/>
        </w:rPr>
        <w:t>P</w:t>
      </w:r>
      <w:r w:rsidRPr="00A60838">
        <w:rPr>
          <w:rFonts w:ascii="Source Sans Pro" w:hAnsi="Source Sans Pro"/>
          <w:sz w:val="22"/>
        </w:rPr>
        <w:t xml:space="preserve">art b) of </w:t>
      </w:r>
      <w:r w:rsidR="00A04296">
        <w:rPr>
          <w:rFonts w:ascii="Source Sans Pro" w:hAnsi="Source Sans Pro"/>
          <w:sz w:val="22"/>
        </w:rPr>
        <w:t>P</w:t>
      </w:r>
      <w:r w:rsidRPr="00A60838">
        <w:rPr>
          <w:rFonts w:ascii="Source Sans Pro" w:hAnsi="Source Sans Pro"/>
          <w:sz w:val="22"/>
        </w:rPr>
        <w:t xml:space="preserve">olicy DS4: Development Needs.  </w:t>
      </w:r>
    </w:p>
    <w:p w14:paraId="450638AB" w14:textId="7FECCE06" w:rsidR="00CE36C6" w:rsidRDefault="00CE36C6" w:rsidP="00CE36C6">
      <w:pPr>
        <w:pStyle w:val="ListParagraph"/>
        <w:numPr>
          <w:ilvl w:val="0"/>
          <w:numId w:val="39"/>
        </w:numPr>
        <w:spacing w:before="240"/>
        <w:ind w:hanging="720"/>
        <w:contextualSpacing w:val="0"/>
        <w:jc w:val="both"/>
        <w:rPr>
          <w:rFonts w:ascii="Source Sans Pro" w:hAnsi="Source Sans Pro"/>
          <w:sz w:val="22"/>
        </w:rPr>
      </w:pPr>
      <w:r w:rsidRPr="00A60838">
        <w:rPr>
          <w:rFonts w:ascii="Source Sans Pro" w:hAnsi="Source Sans Pro"/>
          <w:sz w:val="22"/>
        </w:rPr>
        <w:t>The supply is heavily dependent on two sites:</w:t>
      </w:r>
      <w:r w:rsidR="00290978">
        <w:rPr>
          <w:rFonts w:ascii="Source Sans Pro" w:hAnsi="Source Sans Pro"/>
          <w:sz w:val="22"/>
        </w:rPr>
        <w:t xml:space="preserve"> -</w:t>
      </w:r>
    </w:p>
    <w:p w14:paraId="1AB8D15D" w14:textId="677D3986" w:rsidR="00CE36C6" w:rsidRPr="00A60838" w:rsidRDefault="00CE36C6" w:rsidP="00CE36C6">
      <w:pPr>
        <w:pStyle w:val="ListParagraph"/>
        <w:numPr>
          <w:ilvl w:val="0"/>
          <w:numId w:val="45"/>
        </w:numPr>
        <w:spacing w:before="240"/>
        <w:contextualSpacing w:val="0"/>
        <w:jc w:val="both"/>
        <w:rPr>
          <w:rFonts w:ascii="Source Sans Pro" w:hAnsi="Source Sans Pro"/>
          <w:sz w:val="22"/>
        </w:rPr>
      </w:pPr>
      <w:r w:rsidRPr="00A60838">
        <w:rPr>
          <w:rFonts w:ascii="Source Sans Pro" w:hAnsi="Source Sans Pro"/>
          <w:sz w:val="22"/>
        </w:rPr>
        <w:t>R</w:t>
      </w:r>
      <w:r w:rsidR="00A04296">
        <w:rPr>
          <w:rFonts w:ascii="Source Sans Pro" w:hAnsi="Source Sans Pro"/>
          <w:sz w:val="22"/>
        </w:rPr>
        <w:t>O</w:t>
      </w:r>
      <w:r w:rsidRPr="00A60838">
        <w:rPr>
          <w:rFonts w:ascii="Source Sans Pro" w:hAnsi="Source Sans Pro"/>
          <w:sz w:val="22"/>
        </w:rPr>
        <w:t xml:space="preserve">F Featherstone - 36 hectares.  </w:t>
      </w:r>
    </w:p>
    <w:p w14:paraId="3F449D13" w14:textId="15F16A0F" w:rsidR="00CE36C6" w:rsidRPr="00A60838" w:rsidRDefault="00A04296" w:rsidP="00CE36C6">
      <w:pPr>
        <w:pStyle w:val="ListParagraph"/>
        <w:numPr>
          <w:ilvl w:val="0"/>
          <w:numId w:val="45"/>
        </w:numPr>
        <w:spacing w:before="240"/>
        <w:contextualSpacing w:val="0"/>
        <w:jc w:val="both"/>
        <w:rPr>
          <w:rFonts w:ascii="Source Sans Pro" w:hAnsi="Source Sans Pro"/>
          <w:sz w:val="22"/>
        </w:rPr>
      </w:pPr>
      <w:r>
        <w:rPr>
          <w:rFonts w:ascii="Source Sans Pro" w:hAnsi="Source Sans Pro"/>
          <w:sz w:val="22"/>
        </w:rPr>
        <w:t>i</w:t>
      </w:r>
      <w:r w:rsidR="00CE36C6" w:rsidRPr="00A60838">
        <w:rPr>
          <w:rFonts w:ascii="Source Sans Pro" w:hAnsi="Source Sans Pro"/>
          <w:sz w:val="22"/>
        </w:rPr>
        <w:t>54 Western Extension - 40 hectares.</w:t>
      </w:r>
    </w:p>
    <w:p w14:paraId="464AB5E6" w14:textId="0E0A129C" w:rsidR="00CE36C6" w:rsidRDefault="00CE36C6" w:rsidP="00CE36C6">
      <w:pPr>
        <w:pStyle w:val="ListParagraph"/>
        <w:numPr>
          <w:ilvl w:val="0"/>
          <w:numId w:val="39"/>
        </w:numPr>
        <w:spacing w:before="240"/>
        <w:ind w:hanging="720"/>
        <w:contextualSpacing w:val="0"/>
        <w:jc w:val="both"/>
        <w:rPr>
          <w:rFonts w:ascii="Source Sans Pro" w:hAnsi="Source Sans Pro"/>
          <w:sz w:val="22"/>
        </w:rPr>
      </w:pPr>
      <w:r>
        <w:rPr>
          <w:rFonts w:ascii="Source Sans Pro" w:hAnsi="Source Sans Pro"/>
          <w:sz w:val="22"/>
          <w:szCs w:val="28"/>
        </w:rPr>
        <w:t xml:space="preserve">JLL </w:t>
      </w:r>
      <w:r w:rsidR="00243EF0">
        <w:rPr>
          <w:rFonts w:ascii="Source Sans Pro" w:hAnsi="Source Sans Pro"/>
          <w:sz w:val="22"/>
          <w:szCs w:val="28"/>
        </w:rPr>
        <w:t xml:space="preserve">strongly </w:t>
      </w:r>
      <w:r w:rsidRPr="00881EAA">
        <w:rPr>
          <w:rFonts w:ascii="Source Sans Pro" w:hAnsi="Source Sans Pro"/>
          <w:sz w:val="22"/>
          <w:szCs w:val="28"/>
        </w:rPr>
        <w:t>questions whether these two sites form part of the supply to meet local needs.  Both s</w:t>
      </w:r>
      <w:r>
        <w:rPr>
          <w:rFonts w:ascii="Source Sans Pro" w:hAnsi="Source Sans Pro"/>
          <w:sz w:val="22"/>
          <w:szCs w:val="28"/>
        </w:rPr>
        <w:t>it</w:t>
      </w:r>
      <w:r w:rsidRPr="00881EAA">
        <w:rPr>
          <w:rFonts w:ascii="Source Sans Pro" w:hAnsi="Source Sans Pro"/>
          <w:sz w:val="22"/>
          <w:szCs w:val="28"/>
        </w:rPr>
        <w:t xml:space="preserve">es were released from the </w:t>
      </w:r>
      <w:r>
        <w:rPr>
          <w:rFonts w:ascii="Source Sans Pro" w:hAnsi="Source Sans Pro"/>
          <w:sz w:val="22"/>
          <w:szCs w:val="28"/>
        </w:rPr>
        <w:t>G</w:t>
      </w:r>
      <w:r w:rsidRPr="00881EAA">
        <w:rPr>
          <w:rFonts w:ascii="Source Sans Pro" w:hAnsi="Source Sans Pro"/>
          <w:sz w:val="22"/>
          <w:szCs w:val="28"/>
        </w:rPr>
        <w:t>reen</w:t>
      </w:r>
      <w:r w:rsidR="009B5057">
        <w:rPr>
          <w:rFonts w:ascii="Source Sans Pro" w:hAnsi="Source Sans Pro"/>
          <w:sz w:val="22"/>
          <w:szCs w:val="28"/>
        </w:rPr>
        <w:t xml:space="preserve"> B</w:t>
      </w:r>
      <w:r w:rsidRPr="00881EAA">
        <w:rPr>
          <w:rFonts w:ascii="Source Sans Pro" w:hAnsi="Source Sans Pro"/>
          <w:sz w:val="22"/>
          <w:szCs w:val="28"/>
        </w:rPr>
        <w:t xml:space="preserve">elt and allocated by </w:t>
      </w:r>
      <w:r w:rsidR="00290978">
        <w:rPr>
          <w:rFonts w:ascii="Source Sans Pro" w:hAnsi="Source Sans Pro"/>
          <w:sz w:val="22"/>
          <w:szCs w:val="28"/>
        </w:rPr>
        <w:t>P</w:t>
      </w:r>
      <w:r w:rsidRPr="00881EAA">
        <w:rPr>
          <w:rFonts w:ascii="Source Sans Pro" w:hAnsi="Source Sans Pro"/>
          <w:sz w:val="22"/>
          <w:szCs w:val="28"/>
        </w:rPr>
        <w:t xml:space="preserve">olicy </w:t>
      </w:r>
      <w:r>
        <w:rPr>
          <w:rFonts w:ascii="Source Sans Pro" w:hAnsi="Source Sans Pro"/>
          <w:sz w:val="22"/>
          <w:szCs w:val="28"/>
        </w:rPr>
        <w:t xml:space="preserve">SAD5 </w:t>
      </w:r>
      <w:r w:rsidRPr="00881EAA">
        <w:rPr>
          <w:rFonts w:ascii="Source Sans Pro" w:hAnsi="Source Sans Pro"/>
          <w:sz w:val="22"/>
          <w:szCs w:val="28"/>
        </w:rPr>
        <w:t xml:space="preserve">of the South </w:t>
      </w:r>
      <w:r w:rsidRPr="00E83BC2">
        <w:rPr>
          <w:rFonts w:ascii="Source Sans Pro" w:hAnsi="Source Sans Pro"/>
          <w:sz w:val="22"/>
          <w:szCs w:val="28"/>
        </w:rPr>
        <w:t xml:space="preserve">Staffordshire Site Allocations Document, which was adopted in September 2018. </w:t>
      </w:r>
      <w:r w:rsidRPr="00E83BC2">
        <w:rPr>
          <w:rStyle w:val="FootnoteReference"/>
          <w:rFonts w:ascii="Source Sans Pro" w:hAnsi="Source Sans Pro"/>
          <w:sz w:val="22"/>
          <w:szCs w:val="28"/>
        </w:rPr>
        <w:footnoteReference w:id="3"/>
      </w:r>
      <w:r w:rsidRPr="00881EAA">
        <w:rPr>
          <w:rFonts w:ascii="Source Sans Pro" w:hAnsi="Source Sans Pro"/>
          <w:sz w:val="22"/>
          <w:szCs w:val="28"/>
        </w:rPr>
        <w:t xml:space="preserve"> </w:t>
      </w:r>
    </w:p>
    <w:p w14:paraId="3B3103C9" w14:textId="032277BA" w:rsidR="00CE36C6" w:rsidRPr="00A60838" w:rsidRDefault="00CE36C6" w:rsidP="00CE36C6">
      <w:pPr>
        <w:pStyle w:val="ListParagraph"/>
        <w:numPr>
          <w:ilvl w:val="0"/>
          <w:numId w:val="39"/>
        </w:numPr>
        <w:spacing w:before="240"/>
        <w:ind w:hanging="720"/>
        <w:contextualSpacing w:val="0"/>
        <w:jc w:val="both"/>
        <w:rPr>
          <w:rFonts w:ascii="Source Sans Pro" w:hAnsi="Source Sans Pro"/>
          <w:sz w:val="22"/>
        </w:rPr>
      </w:pPr>
      <w:r w:rsidRPr="00881EAA">
        <w:rPr>
          <w:rFonts w:ascii="Source Sans Pro" w:hAnsi="Source Sans Pro"/>
          <w:sz w:val="22"/>
          <w:szCs w:val="28"/>
        </w:rPr>
        <w:t>The role of these two sites</w:t>
      </w:r>
      <w:r>
        <w:rPr>
          <w:rFonts w:ascii="Source Sans Pro" w:hAnsi="Source Sans Pro"/>
          <w:sz w:val="22"/>
          <w:szCs w:val="28"/>
        </w:rPr>
        <w:t xml:space="preserve">, </w:t>
      </w:r>
      <w:r w:rsidRPr="00881EAA">
        <w:rPr>
          <w:rFonts w:ascii="Source Sans Pro" w:hAnsi="Source Sans Pro"/>
          <w:sz w:val="22"/>
          <w:szCs w:val="28"/>
        </w:rPr>
        <w:t xml:space="preserve">in terms of meeting need, is set out clearly by explanatory text to this policy.  Paragraph 9.24 covers </w:t>
      </w:r>
      <w:r>
        <w:rPr>
          <w:rFonts w:ascii="Source Sans Pro" w:hAnsi="Source Sans Pro"/>
          <w:sz w:val="22"/>
          <w:szCs w:val="28"/>
        </w:rPr>
        <w:t xml:space="preserve">the </w:t>
      </w:r>
      <w:r w:rsidRPr="00881EAA">
        <w:rPr>
          <w:rFonts w:ascii="Source Sans Pro" w:hAnsi="Source Sans Pro"/>
          <w:sz w:val="22"/>
          <w:szCs w:val="28"/>
        </w:rPr>
        <w:t xml:space="preserve">extension to </w:t>
      </w:r>
      <w:r w:rsidR="0074766D">
        <w:rPr>
          <w:rFonts w:ascii="Source Sans Pro" w:hAnsi="Source Sans Pro"/>
          <w:sz w:val="22"/>
          <w:szCs w:val="28"/>
        </w:rPr>
        <w:t>i</w:t>
      </w:r>
      <w:r>
        <w:rPr>
          <w:rFonts w:ascii="Source Sans Pro" w:hAnsi="Source Sans Pro"/>
          <w:sz w:val="22"/>
          <w:szCs w:val="28"/>
        </w:rPr>
        <w:t>54</w:t>
      </w:r>
      <w:r w:rsidRPr="00881EAA">
        <w:rPr>
          <w:rFonts w:ascii="Source Sans Pro" w:hAnsi="Source Sans Pro"/>
          <w:sz w:val="22"/>
          <w:szCs w:val="28"/>
        </w:rPr>
        <w:t>.</w:t>
      </w:r>
      <w:r>
        <w:rPr>
          <w:rFonts w:ascii="Source Sans Pro" w:hAnsi="Source Sans Pro"/>
          <w:sz w:val="22"/>
          <w:szCs w:val="28"/>
        </w:rPr>
        <w:t xml:space="preserve">  I</w:t>
      </w:r>
      <w:r w:rsidRPr="00881EAA">
        <w:rPr>
          <w:rFonts w:ascii="Source Sans Pro" w:hAnsi="Source Sans Pro"/>
          <w:sz w:val="22"/>
          <w:szCs w:val="28"/>
        </w:rPr>
        <w:t xml:space="preserve">t is extracted and provided below.  </w:t>
      </w:r>
    </w:p>
    <w:p w14:paraId="626AF794" w14:textId="00306D0B" w:rsidR="00CE36C6" w:rsidRDefault="009B7A43" w:rsidP="00CE36C6">
      <w:pPr>
        <w:pStyle w:val="ListParagraph"/>
        <w:spacing w:before="240"/>
        <w:contextualSpacing w:val="0"/>
        <w:jc w:val="both"/>
        <w:rPr>
          <w:rFonts w:ascii="Source Sans Pro" w:hAnsi="Source Sans Pro"/>
          <w:sz w:val="22"/>
          <w:szCs w:val="28"/>
        </w:rPr>
      </w:pPr>
      <w:r>
        <w:rPr>
          <w:noProof/>
        </w:rPr>
        <w:drawing>
          <wp:inline distT="0" distB="0" distL="0" distR="0" wp14:anchorId="1341627B" wp14:editId="1EF32BCA">
            <wp:extent cx="5732145" cy="1040765"/>
            <wp:effectExtent l="0" t="0" r="190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2145" cy="1040765"/>
                    </a:xfrm>
                    <a:prstGeom prst="rect">
                      <a:avLst/>
                    </a:prstGeom>
                  </pic:spPr>
                </pic:pic>
              </a:graphicData>
            </a:graphic>
          </wp:inline>
        </w:drawing>
      </w:r>
    </w:p>
    <w:p w14:paraId="5CD3EB45" w14:textId="77777777" w:rsidR="00E607C7" w:rsidRDefault="00E607C7" w:rsidP="00CE36C6">
      <w:pPr>
        <w:pStyle w:val="ListParagraph"/>
        <w:spacing w:before="240"/>
        <w:contextualSpacing w:val="0"/>
        <w:jc w:val="both"/>
        <w:rPr>
          <w:rFonts w:ascii="Source Sans Pro" w:hAnsi="Source Sans Pro"/>
          <w:sz w:val="22"/>
          <w:szCs w:val="28"/>
        </w:rPr>
      </w:pPr>
    </w:p>
    <w:p w14:paraId="138EB7FA" w14:textId="5B85E622" w:rsidR="002376FE" w:rsidRPr="002376FE" w:rsidRDefault="00CE36C6" w:rsidP="002376FE">
      <w:pPr>
        <w:pStyle w:val="ListParagraph"/>
        <w:numPr>
          <w:ilvl w:val="0"/>
          <w:numId w:val="39"/>
        </w:numPr>
        <w:spacing w:before="240"/>
        <w:ind w:hanging="720"/>
        <w:contextualSpacing w:val="0"/>
        <w:jc w:val="both"/>
        <w:rPr>
          <w:rFonts w:ascii="Source Sans Pro" w:hAnsi="Source Sans Pro"/>
          <w:sz w:val="22"/>
        </w:rPr>
      </w:pPr>
      <w:r w:rsidRPr="00A60838">
        <w:rPr>
          <w:rFonts w:ascii="Source Sans Pro" w:hAnsi="Source Sans Pro"/>
          <w:sz w:val="22"/>
          <w:szCs w:val="28"/>
        </w:rPr>
        <w:lastRenderedPageBreak/>
        <w:t>Similarly, paragraph 9.30 advises on the allocation of ROF Featherstone.  It is also extracted and provided below</w:t>
      </w:r>
      <w:r>
        <w:rPr>
          <w:rFonts w:ascii="Source Sans Pro" w:hAnsi="Source Sans Pro"/>
          <w:sz w:val="22"/>
          <w:szCs w:val="28"/>
        </w:rPr>
        <w:t>.</w:t>
      </w:r>
    </w:p>
    <w:p w14:paraId="20C6835F" w14:textId="48F58E10" w:rsidR="00CE36C6" w:rsidRDefault="009B7A43" w:rsidP="00E607C7">
      <w:pPr>
        <w:pStyle w:val="ListParagraph"/>
        <w:spacing w:before="240"/>
        <w:ind w:hanging="11"/>
        <w:contextualSpacing w:val="0"/>
        <w:jc w:val="both"/>
        <w:rPr>
          <w:rFonts w:ascii="Source Sans Pro" w:hAnsi="Source Sans Pro"/>
          <w:sz w:val="22"/>
        </w:rPr>
      </w:pPr>
      <w:r>
        <w:rPr>
          <w:noProof/>
        </w:rPr>
        <w:drawing>
          <wp:inline distT="0" distB="0" distL="0" distR="0" wp14:anchorId="4CC465D7" wp14:editId="5D2589BF">
            <wp:extent cx="5732145" cy="51879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2145" cy="518795"/>
                    </a:xfrm>
                    <a:prstGeom prst="rect">
                      <a:avLst/>
                    </a:prstGeom>
                  </pic:spPr>
                </pic:pic>
              </a:graphicData>
            </a:graphic>
          </wp:inline>
        </w:drawing>
      </w:r>
      <w:r>
        <w:rPr>
          <w:noProof/>
        </w:rPr>
        <w:drawing>
          <wp:inline distT="0" distB="0" distL="0" distR="0" wp14:anchorId="226D3E5E" wp14:editId="43A1DCAA">
            <wp:extent cx="5732145" cy="89852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2145" cy="898525"/>
                    </a:xfrm>
                    <a:prstGeom prst="rect">
                      <a:avLst/>
                    </a:prstGeom>
                  </pic:spPr>
                </pic:pic>
              </a:graphicData>
            </a:graphic>
          </wp:inline>
        </w:drawing>
      </w:r>
    </w:p>
    <w:p w14:paraId="7B14E910" w14:textId="782A48BD" w:rsidR="00CE36C6" w:rsidRPr="00A60838" w:rsidRDefault="00CE36C6" w:rsidP="00CE36C6">
      <w:pPr>
        <w:pStyle w:val="ListParagraph"/>
        <w:numPr>
          <w:ilvl w:val="0"/>
          <w:numId w:val="39"/>
        </w:numPr>
        <w:spacing w:before="240"/>
        <w:ind w:hanging="720"/>
        <w:contextualSpacing w:val="0"/>
        <w:jc w:val="both"/>
        <w:rPr>
          <w:rFonts w:ascii="Source Sans Pro" w:hAnsi="Source Sans Pro"/>
          <w:sz w:val="22"/>
        </w:rPr>
      </w:pPr>
      <w:r w:rsidRPr="00A60838">
        <w:rPr>
          <w:rFonts w:ascii="Source Sans Pro" w:hAnsi="Source Sans Pro"/>
          <w:sz w:val="22"/>
        </w:rPr>
        <w:t>It is to be emphasised that both sites were released from the Green</w:t>
      </w:r>
      <w:r w:rsidR="009B5057">
        <w:rPr>
          <w:rFonts w:ascii="Source Sans Pro" w:hAnsi="Source Sans Pro"/>
          <w:sz w:val="22"/>
        </w:rPr>
        <w:t xml:space="preserve"> B</w:t>
      </w:r>
      <w:r w:rsidRPr="00A60838">
        <w:rPr>
          <w:rFonts w:ascii="Source Sans Pro" w:hAnsi="Source Sans Pro"/>
          <w:sz w:val="22"/>
        </w:rPr>
        <w:t>elt.  The exceptional circumstances required to justify these releases were to serve express</w:t>
      </w:r>
      <w:r w:rsidR="009B5057">
        <w:rPr>
          <w:rFonts w:ascii="Source Sans Pro" w:hAnsi="Source Sans Pro"/>
          <w:sz w:val="22"/>
        </w:rPr>
        <w:t>ly</w:t>
      </w:r>
      <w:r w:rsidRPr="00A60838">
        <w:rPr>
          <w:rFonts w:ascii="Source Sans Pro" w:hAnsi="Source Sans Pro"/>
          <w:sz w:val="22"/>
        </w:rPr>
        <w:t xml:space="preserve"> the needs of the Black Country and wider region.  No evidence has been presented to suggest that this </w:t>
      </w:r>
      <w:r w:rsidR="00865715">
        <w:rPr>
          <w:rFonts w:ascii="Source Sans Pro" w:hAnsi="Source Sans Pro"/>
          <w:sz w:val="22"/>
        </w:rPr>
        <w:t xml:space="preserve">wider </w:t>
      </w:r>
      <w:r w:rsidRPr="00A60838">
        <w:rPr>
          <w:rFonts w:ascii="Source Sans Pro" w:hAnsi="Source Sans Pro"/>
          <w:sz w:val="22"/>
        </w:rPr>
        <w:t xml:space="preserve">need no longer exists.  Indeed, the extent of the identified shortfall from the Black Country (a minimum of 210 hectares) is specifically referenced by the draft </w:t>
      </w:r>
      <w:r w:rsidR="009B5057">
        <w:rPr>
          <w:rFonts w:ascii="Source Sans Pro" w:hAnsi="Source Sans Pro"/>
          <w:sz w:val="22"/>
        </w:rPr>
        <w:t>P</w:t>
      </w:r>
      <w:r w:rsidRPr="00A60838">
        <w:rPr>
          <w:rFonts w:ascii="Source Sans Pro" w:hAnsi="Source Sans Pro"/>
          <w:sz w:val="22"/>
        </w:rPr>
        <w:t xml:space="preserve">lan (paragraph 5.61) and in various parts of the evidence base (e.g </w:t>
      </w:r>
      <w:r w:rsidR="009B5057">
        <w:rPr>
          <w:rFonts w:ascii="Source Sans Pro" w:hAnsi="Source Sans Pro"/>
          <w:sz w:val="22"/>
        </w:rPr>
        <w:t>E</w:t>
      </w:r>
      <w:r w:rsidRPr="00A60838">
        <w:rPr>
          <w:rFonts w:ascii="Source Sans Pro" w:hAnsi="Source Sans Pro"/>
          <w:sz w:val="22"/>
        </w:rPr>
        <w:t xml:space="preserve">conomic </w:t>
      </w:r>
      <w:r w:rsidR="009B5057">
        <w:rPr>
          <w:rFonts w:ascii="Source Sans Pro" w:hAnsi="Source Sans Pro"/>
          <w:sz w:val="22"/>
        </w:rPr>
        <w:t>S</w:t>
      </w:r>
      <w:r w:rsidRPr="00A60838">
        <w:rPr>
          <w:rFonts w:ascii="Source Sans Pro" w:hAnsi="Source Sans Pro"/>
          <w:sz w:val="22"/>
        </w:rPr>
        <w:t xml:space="preserve">trategy and </w:t>
      </w:r>
      <w:r w:rsidR="009B5057">
        <w:rPr>
          <w:rFonts w:ascii="Source Sans Pro" w:hAnsi="Source Sans Pro"/>
          <w:sz w:val="22"/>
        </w:rPr>
        <w:t>S</w:t>
      </w:r>
      <w:r w:rsidRPr="00A60838">
        <w:rPr>
          <w:rFonts w:ascii="Source Sans Pro" w:hAnsi="Source Sans Pro"/>
          <w:sz w:val="22"/>
        </w:rPr>
        <w:t xml:space="preserve">ite </w:t>
      </w:r>
      <w:r w:rsidR="009B5057">
        <w:rPr>
          <w:rFonts w:ascii="Source Sans Pro" w:hAnsi="Source Sans Pro"/>
          <w:sz w:val="22"/>
        </w:rPr>
        <w:t>A</w:t>
      </w:r>
      <w:r w:rsidRPr="00A60838">
        <w:rPr>
          <w:rFonts w:ascii="Source Sans Pro" w:hAnsi="Source Sans Pro"/>
          <w:sz w:val="22"/>
        </w:rPr>
        <w:t xml:space="preserve">ssessment </w:t>
      </w:r>
      <w:r w:rsidR="009B5057">
        <w:rPr>
          <w:rFonts w:ascii="Source Sans Pro" w:hAnsi="Source Sans Pro"/>
          <w:sz w:val="22"/>
        </w:rPr>
        <w:t>T</w:t>
      </w:r>
      <w:r w:rsidRPr="00A60838">
        <w:rPr>
          <w:rFonts w:ascii="Source Sans Pro" w:hAnsi="Source Sans Pro"/>
          <w:sz w:val="22"/>
        </w:rPr>
        <w:t xml:space="preserve">opic </w:t>
      </w:r>
      <w:r w:rsidR="009B5057">
        <w:rPr>
          <w:rFonts w:ascii="Source Sans Pro" w:hAnsi="Source Sans Pro"/>
          <w:sz w:val="22"/>
        </w:rPr>
        <w:t>P</w:t>
      </w:r>
      <w:r w:rsidRPr="00A60838">
        <w:rPr>
          <w:rFonts w:ascii="Source Sans Pro" w:hAnsi="Source Sans Pro"/>
          <w:sz w:val="22"/>
        </w:rPr>
        <w:t xml:space="preserve">aper and the </w:t>
      </w:r>
      <w:r w:rsidR="009B5057">
        <w:rPr>
          <w:rFonts w:ascii="Source Sans Pro" w:hAnsi="Source Sans Pro"/>
          <w:sz w:val="22"/>
        </w:rPr>
        <w:t>D</w:t>
      </w:r>
      <w:r w:rsidRPr="00A60838">
        <w:rPr>
          <w:rFonts w:ascii="Source Sans Pro" w:hAnsi="Source Sans Pro"/>
          <w:sz w:val="22"/>
        </w:rPr>
        <w:t xml:space="preserve">uty to </w:t>
      </w:r>
      <w:r w:rsidR="009B5057">
        <w:rPr>
          <w:rFonts w:ascii="Source Sans Pro" w:hAnsi="Source Sans Pro"/>
          <w:sz w:val="22"/>
        </w:rPr>
        <w:t>C</w:t>
      </w:r>
      <w:r w:rsidRPr="00A60838">
        <w:rPr>
          <w:rFonts w:ascii="Source Sans Pro" w:hAnsi="Source Sans Pro"/>
          <w:sz w:val="22"/>
        </w:rPr>
        <w:t>o</w:t>
      </w:r>
      <w:r w:rsidR="009B5057">
        <w:rPr>
          <w:rFonts w:ascii="Source Sans Pro" w:hAnsi="Source Sans Pro"/>
          <w:sz w:val="22"/>
        </w:rPr>
        <w:t>-</w:t>
      </w:r>
      <w:r w:rsidRPr="00A60838">
        <w:rPr>
          <w:rFonts w:ascii="Source Sans Pro" w:hAnsi="Source Sans Pro"/>
          <w:sz w:val="22"/>
        </w:rPr>
        <w:t xml:space="preserve">operate </w:t>
      </w:r>
      <w:r w:rsidR="009B5057">
        <w:rPr>
          <w:rFonts w:ascii="Source Sans Pro" w:hAnsi="Source Sans Pro"/>
          <w:sz w:val="22"/>
        </w:rPr>
        <w:t>T</w:t>
      </w:r>
      <w:r w:rsidRPr="00A60838">
        <w:rPr>
          <w:rFonts w:ascii="Source Sans Pro" w:hAnsi="Source Sans Pro"/>
          <w:sz w:val="22"/>
        </w:rPr>
        <w:t xml:space="preserve">opic </w:t>
      </w:r>
      <w:r w:rsidR="009B5057">
        <w:rPr>
          <w:rFonts w:ascii="Source Sans Pro" w:hAnsi="Source Sans Pro"/>
          <w:sz w:val="22"/>
        </w:rPr>
        <w:t>P</w:t>
      </w:r>
      <w:r w:rsidRPr="00A60838">
        <w:rPr>
          <w:rFonts w:ascii="Source Sans Pro" w:hAnsi="Source Sans Pro"/>
          <w:sz w:val="22"/>
        </w:rPr>
        <w:t xml:space="preserve">aper).  </w:t>
      </w:r>
    </w:p>
    <w:p w14:paraId="6C3DFA3A" w14:textId="196B3787" w:rsidR="00CE36C6" w:rsidRPr="00A60838" w:rsidRDefault="00CE36C6" w:rsidP="00CE36C6">
      <w:pPr>
        <w:pStyle w:val="ListParagraph"/>
        <w:numPr>
          <w:ilvl w:val="0"/>
          <w:numId w:val="39"/>
        </w:numPr>
        <w:spacing w:before="240"/>
        <w:ind w:hanging="720"/>
        <w:contextualSpacing w:val="0"/>
        <w:jc w:val="both"/>
        <w:rPr>
          <w:rFonts w:ascii="Source Sans Pro" w:hAnsi="Source Sans Pro"/>
          <w:sz w:val="22"/>
        </w:rPr>
      </w:pPr>
      <w:r w:rsidRPr="00A60838">
        <w:rPr>
          <w:rFonts w:ascii="Source Sans Pro" w:hAnsi="Source Sans Pro"/>
          <w:sz w:val="22"/>
        </w:rPr>
        <w:t xml:space="preserve">In addition, reliance on land at </w:t>
      </w:r>
      <w:r w:rsidR="0074766D">
        <w:rPr>
          <w:rFonts w:ascii="Source Sans Pro" w:hAnsi="Source Sans Pro"/>
          <w:sz w:val="22"/>
        </w:rPr>
        <w:t>i</w:t>
      </w:r>
      <w:r w:rsidRPr="00A60838">
        <w:rPr>
          <w:rFonts w:ascii="Source Sans Pro" w:hAnsi="Source Sans Pro"/>
          <w:sz w:val="22"/>
        </w:rPr>
        <w:t>54 would seem to contradict the approach of DLP</w:t>
      </w:r>
      <w:r w:rsidR="009B5057">
        <w:rPr>
          <w:rFonts w:ascii="Source Sans Pro" w:hAnsi="Source Sans Pro"/>
          <w:sz w:val="22"/>
        </w:rPr>
        <w:t>’s</w:t>
      </w:r>
      <w:r w:rsidRPr="00A60838">
        <w:rPr>
          <w:rFonts w:ascii="Source Sans Pro" w:hAnsi="Source Sans Pro"/>
          <w:sz w:val="22"/>
        </w:rPr>
        <w:t xml:space="preserve"> EDNA of discounting take</w:t>
      </w:r>
      <w:r w:rsidR="009B5057">
        <w:rPr>
          <w:rFonts w:ascii="Source Sans Pro" w:hAnsi="Source Sans Pro"/>
          <w:sz w:val="22"/>
        </w:rPr>
        <w:t>-</w:t>
      </w:r>
      <w:r w:rsidRPr="00A60838">
        <w:rPr>
          <w:rFonts w:ascii="Source Sans Pro" w:hAnsi="Source Sans Pro"/>
          <w:sz w:val="22"/>
        </w:rPr>
        <w:t xml:space="preserve">up of any </w:t>
      </w:r>
      <w:r w:rsidR="009B5057">
        <w:rPr>
          <w:rFonts w:ascii="Source Sans Pro" w:hAnsi="Source Sans Pro"/>
          <w:sz w:val="22"/>
        </w:rPr>
        <w:t>“</w:t>
      </w:r>
      <w:r w:rsidRPr="00A60838">
        <w:rPr>
          <w:rFonts w:ascii="Source Sans Pro" w:hAnsi="Source Sans Pro"/>
          <w:sz w:val="22"/>
        </w:rPr>
        <w:t>atypical</w:t>
      </w:r>
      <w:r w:rsidR="009B5057">
        <w:rPr>
          <w:rFonts w:ascii="Source Sans Pro" w:hAnsi="Source Sans Pro"/>
          <w:sz w:val="22"/>
        </w:rPr>
        <w:t>”</w:t>
      </w:r>
      <w:r w:rsidRPr="00A60838">
        <w:rPr>
          <w:rFonts w:ascii="Source Sans Pro" w:hAnsi="Source Sans Pro"/>
          <w:sz w:val="22"/>
        </w:rPr>
        <w:t xml:space="preserve"> developments (i.e JLR at </w:t>
      </w:r>
      <w:r w:rsidR="0074766D">
        <w:rPr>
          <w:rFonts w:ascii="Source Sans Pro" w:hAnsi="Source Sans Pro"/>
          <w:sz w:val="22"/>
        </w:rPr>
        <w:t>i</w:t>
      </w:r>
      <w:r w:rsidRPr="00A60838">
        <w:rPr>
          <w:rFonts w:ascii="Source Sans Pro" w:hAnsi="Source Sans Pro"/>
          <w:sz w:val="22"/>
        </w:rPr>
        <w:t>54 and Amazon and Gestamp at Four Ashes) in projecti</w:t>
      </w:r>
      <w:r w:rsidR="009B5057">
        <w:rPr>
          <w:rFonts w:ascii="Source Sans Pro" w:hAnsi="Source Sans Pro"/>
          <w:sz w:val="22"/>
        </w:rPr>
        <w:t>ng</w:t>
      </w:r>
      <w:r w:rsidRPr="00A60838">
        <w:rPr>
          <w:rFonts w:ascii="Source Sans Pro" w:hAnsi="Source Sans Pro"/>
          <w:sz w:val="22"/>
        </w:rPr>
        <w:t xml:space="preserve"> need through the past completions trend method.  At best, </w:t>
      </w:r>
      <w:r w:rsidR="008C09CB">
        <w:rPr>
          <w:rFonts w:ascii="Source Sans Pro" w:hAnsi="Source Sans Pro"/>
          <w:sz w:val="22"/>
        </w:rPr>
        <w:t xml:space="preserve">this </w:t>
      </w:r>
      <w:r w:rsidRPr="00A60838">
        <w:rPr>
          <w:rFonts w:ascii="Source Sans Pro" w:hAnsi="Source Sans Pro"/>
          <w:sz w:val="22"/>
        </w:rPr>
        <w:t xml:space="preserve">is inconsistent.  </w:t>
      </w:r>
    </w:p>
    <w:p w14:paraId="20B5872C" w14:textId="1199B237" w:rsidR="00CE36C6" w:rsidRPr="00A60838" w:rsidRDefault="00CE36C6" w:rsidP="00CE36C6">
      <w:pPr>
        <w:pStyle w:val="ListParagraph"/>
        <w:numPr>
          <w:ilvl w:val="0"/>
          <w:numId w:val="39"/>
        </w:numPr>
        <w:spacing w:before="240"/>
        <w:ind w:hanging="720"/>
        <w:contextualSpacing w:val="0"/>
        <w:jc w:val="both"/>
        <w:rPr>
          <w:rFonts w:ascii="Source Sans Pro" w:hAnsi="Source Sans Pro"/>
          <w:sz w:val="22"/>
        </w:rPr>
      </w:pPr>
      <w:r w:rsidRPr="00A60838">
        <w:rPr>
          <w:rFonts w:ascii="Source Sans Pro" w:hAnsi="Source Sans Pro"/>
          <w:sz w:val="22"/>
        </w:rPr>
        <w:t>The next largest site, in terms of land available, is Hob</w:t>
      </w:r>
      <w:r w:rsidR="009B5057">
        <w:rPr>
          <w:rFonts w:ascii="Source Sans Pro" w:hAnsi="Source Sans Pro"/>
          <w:sz w:val="22"/>
        </w:rPr>
        <w:t>n</w:t>
      </w:r>
      <w:r w:rsidRPr="00A60838">
        <w:rPr>
          <w:rFonts w:ascii="Source Sans Pro" w:hAnsi="Source Sans Pro"/>
          <w:sz w:val="22"/>
        </w:rPr>
        <w:t>ock Road, Essington - 5.2 hectares.  This site was promoted,</w:t>
      </w:r>
      <w:r w:rsidR="009B5057">
        <w:rPr>
          <w:rFonts w:ascii="Source Sans Pro" w:hAnsi="Source Sans Pro"/>
          <w:sz w:val="22"/>
        </w:rPr>
        <w:t xml:space="preserve"> as</w:t>
      </w:r>
      <w:r w:rsidRPr="00A60838">
        <w:rPr>
          <w:rFonts w:ascii="Source Sans Pro" w:hAnsi="Source Sans Pro"/>
          <w:sz w:val="22"/>
        </w:rPr>
        <w:t xml:space="preserve"> part of a larger site, for a distribution warehouse for DX </w:t>
      </w:r>
      <w:r w:rsidR="009B5057">
        <w:rPr>
          <w:rFonts w:ascii="Source Sans Pro" w:hAnsi="Source Sans Pro"/>
          <w:sz w:val="22"/>
        </w:rPr>
        <w:t>L</w:t>
      </w:r>
      <w:r w:rsidRPr="00A60838">
        <w:rPr>
          <w:rFonts w:ascii="Source Sans Pro" w:hAnsi="Source Sans Pro"/>
          <w:sz w:val="22"/>
        </w:rPr>
        <w:t>ogistics.  However, the application was refused by the Council (in 2016) on the grounds it represented inappropriate development in the Green</w:t>
      </w:r>
      <w:r w:rsidR="009B5057">
        <w:rPr>
          <w:rFonts w:ascii="Source Sans Pro" w:hAnsi="Source Sans Pro"/>
          <w:sz w:val="22"/>
        </w:rPr>
        <w:t xml:space="preserve"> B</w:t>
      </w:r>
      <w:r w:rsidRPr="00A60838">
        <w:rPr>
          <w:rFonts w:ascii="Source Sans Pro" w:hAnsi="Source Sans Pro"/>
          <w:sz w:val="22"/>
        </w:rPr>
        <w:t xml:space="preserve">elt.  No subsequent proposals have come forward and the site is not proposed to be allocated by </w:t>
      </w:r>
      <w:r w:rsidR="009B5057">
        <w:rPr>
          <w:rFonts w:ascii="Source Sans Pro" w:hAnsi="Source Sans Pro"/>
          <w:sz w:val="22"/>
        </w:rPr>
        <w:t>P</w:t>
      </w:r>
      <w:r w:rsidRPr="00A60838">
        <w:rPr>
          <w:rFonts w:ascii="Source Sans Pro" w:hAnsi="Source Sans Pro"/>
          <w:sz w:val="22"/>
        </w:rPr>
        <w:t xml:space="preserve">olicy SA7.  As such, it is difficult to understand why this site is </w:t>
      </w:r>
      <w:r w:rsidR="00865715">
        <w:rPr>
          <w:rFonts w:ascii="Source Sans Pro" w:hAnsi="Source Sans Pro"/>
          <w:sz w:val="22"/>
        </w:rPr>
        <w:t xml:space="preserve">still </w:t>
      </w:r>
      <w:r w:rsidRPr="00A60838">
        <w:rPr>
          <w:rFonts w:ascii="Source Sans Pro" w:hAnsi="Source Sans Pro"/>
          <w:sz w:val="22"/>
        </w:rPr>
        <w:t xml:space="preserve">considered to form part of the district's supply of employment land.  </w:t>
      </w:r>
    </w:p>
    <w:p w14:paraId="6F0F5F73" w14:textId="4904744A" w:rsidR="00CE36C6" w:rsidRDefault="00CE36C6" w:rsidP="00CE36C6">
      <w:pPr>
        <w:pStyle w:val="ListParagraph"/>
        <w:numPr>
          <w:ilvl w:val="0"/>
          <w:numId w:val="39"/>
        </w:numPr>
        <w:spacing w:before="240"/>
        <w:ind w:hanging="720"/>
        <w:contextualSpacing w:val="0"/>
        <w:jc w:val="both"/>
        <w:rPr>
          <w:rFonts w:ascii="Source Sans Pro" w:hAnsi="Source Sans Pro"/>
          <w:sz w:val="22"/>
        </w:rPr>
      </w:pPr>
      <w:r w:rsidRPr="00A60838">
        <w:rPr>
          <w:rFonts w:ascii="Source Sans Pro" w:hAnsi="Source Sans Pro"/>
          <w:sz w:val="22"/>
        </w:rPr>
        <w:t xml:space="preserve">At best, the supply of available a development land to meet local needs is 23 hectares (i.e with the removal of </w:t>
      </w:r>
      <w:r w:rsidR="008C09CB">
        <w:rPr>
          <w:rFonts w:ascii="Source Sans Pro" w:hAnsi="Source Sans Pro"/>
          <w:sz w:val="22"/>
        </w:rPr>
        <w:t xml:space="preserve">the </w:t>
      </w:r>
      <w:r w:rsidR="0074766D">
        <w:rPr>
          <w:rFonts w:ascii="Source Sans Pro" w:hAnsi="Source Sans Pro"/>
          <w:sz w:val="22"/>
        </w:rPr>
        <w:t>i</w:t>
      </w:r>
      <w:r w:rsidRPr="00A60838">
        <w:rPr>
          <w:rFonts w:ascii="Source Sans Pro" w:hAnsi="Source Sans Pro"/>
          <w:sz w:val="22"/>
        </w:rPr>
        <w:t>54 Western Extension and ROF Featherstone).  However, this would reduce to less than 18 hectares if the Hob</w:t>
      </w:r>
      <w:r w:rsidR="00193DBF">
        <w:rPr>
          <w:rFonts w:ascii="Source Sans Pro" w:hAnsi="Source Sans Pro"/>
          <w:sz w:val="22"/>
        </w:rPr>
        <w:t>n</w:t>
      </w:r>
      <w:r w:rsidRPr="00A60838">
        <w:rPr>
          <w:rFonts w:ascii="Source Sans Pro" w:hAnsi="Source Sans Pro"/>
          <w:sz w:val="22"/>
        </w:rPr>
        <w:t xml:space="preserve">ock Road site was removed (unless, of course, the Council </w:t>
      </w:r>
      <w:r w:rsidR="00193DBF">
        <w:rPr>
          <w:rFonts w:ascii="Source Sans Pro" w:hAnsi="Source Sans Pro"/>
          <w:sz w:val="22"/>
        </w:rPr>
        <w:t>i</w:t>
      </w:r>
      <w:r w:rsidRPr="00A60838">
        <w:rPr>
          <w:rFonts w:ascii="Source Sans Pro" w:hAnsi="Source Sans Pro"/>
          <w:sz w:val="22"/>
        </w:rPr>
        <w:t>s minded to allocate it</w:t>
      </w:r>
      <w:r w:rsidR="0074766D">
        <w:rPr>
          <w:rFonts w:ascii="Source Sans Pro" w:hAnsi="Source Sans Pro"/>
          <w:sz w:val="22"/>
        </w:rPr>
        <w:t xml:space="preserve"> for development</w:t>
      </w:r>
      <w:r w:rsidRPr="00A60838">
        <w:rPr>
          <w:rFonts w:ascii="Source Sans Pro" w:hAnsi="Source Sans Pro"/>
          <w:sz w:val="22"/>
        </w:rPr>
        <w:t xml:space="preserve">).  </w:t>
      </w:r>
    </w:p>
    <w:p w14:paraId="3BCDAF05" w14:textId="77777777" w:rsidR="00CE36C6" w:rsidRPr="00A60838" w:rsidRDefault="00CE36C6" w:rsidP="00CE36C6">
      <w:pPr>
        <w:pStyle w:val="ListParagraph"/>
        <w:spacing w:before="240"/>
        <w:contextualSpacing w:val="0"/>
        <w:jc w:val="both"/>
        <w:rPr>
          <w:rFonts w:ascii="Source Sans Pro" w:hAnsi="Source Sans Pro"/>
          <w:b/>
          <w:bCs/>
          <w:i/>
          <w:iCs/>
          <w:sz w:val="22"/>
        </w:rPr>
      </w:pPr>
      <w:r>
        <w:rPr>
          <w:rFonts w:ascii="Source Sans Pro" w:hAnsi="Source Sans Pro"/>
          <w:b/>
          <w:bCs/>
          <w:i/>
          <w:iCs/>
          <w:sz w:val="22"/>
        </w:rPr>
        <w:t xml:space="preserve">Balance between Local Need and Supply </w:t>
      </w:r>
    </w:p>
    <w:p w14:paraId="5CC0308D" w14:textId="2B13A994" w:rsidR="00CE36C6" w:rsidRPr="002376FE" w:rsidRDefault="00CE36C6" w:rsidP="00CE36C6">
      <w:pPr>
        <w:pStyle w:val="ListParagraph"/>
        <w:numPr>
          <w:ilvl w:val="0"/>
          <w:numId w:val="39"/>
        </w:numPr>
        <w:spacing w:before="240"/>
        <w:ind w:hanging="720"/>
        <w:contextualSpacing w:val="0"/>
        <w:jc w:val="both"/>
        <w:rPr>
          <w:rFonts w:ascii="Source Sans Pro" w:hAnsi="Source Sans Pro"/>
          <w:sz w:val="22"/>
        </w:rPr>
      </w:pPr>
      <w:r>
        <w:rPr>
          <w:rFonts w:ascii="Source Sans Pro" w:hAnsi="Source Sans Pro"/>
          <w:sz w:val="22"/>
          <w:szCs w:val="28"/>
        </w:rPr>
        <w:t xml:space="preserve">JLL’s </w:t>
      </w:r>
      <w:r w:rsidRPr="00881EAA">
        <w:rPr>
          <w:rFonts w:ascii="Source Sans Pro" w:hAnsi="Source Sans Pro"/>
          <w:sz w:val="22"/>
          <w:szCs w:val="28"/>
        </w:rPr>
        <w:t xml:space="preserve">assessment of </w:t>
      </w:r>
      <w:r w:rsidR="008C09CB">
        <w:rPr>
          <w:rFonts w:ascii="Source Sans Pro" w:hAnsi="Source Sans Pro"/>
          <w:sz w:val="22"/>
          <w:szCs w:val="28"/>
        </w:rPr>
        <w:t xml:space="preserve">the local </w:t>
      </w:r>
      <w:r w:rsidRPr="00881EAA">
        <w:rPr>
          <w:rFonts w:ascii="Source Sans Pro" w:hAnsi="Source Sans Pro"/>
          <w:sz w:val="22"/>
          <w:szCs w:val="28"/>
        </w:rPr>
        <w:t xml:space="preserve">need and supply </w:t>
      </w:r>
      <w:r>
        <w:rPr>
          <w:rFonts w:ascii="Source Sans Pro" w:hAnsi="Source Sans Pro"/>
          <w:sz w:val="22"/>
          <w:szCs w:val="28"/>
        </w:rPr>
        <w:t>of employment l</w:t>
      </w:r>
      <w:r w:rsidRPr="00881EAA">
        <w:rPr>
          <w:rFonts w:ascii="Source Sans Pro" w:hAnsi="Source Sans Pro"/>
          <w:sz w:val="22"/>
          <w:szCs w:val="28"/>
        </w:rPr>
        <w:t xml:space="preserve">and leads to consequential changes to the </w:t>
      </w:r>
      <w:r w:rsidR="008C09CB">
        <w:rPr>
          <w:rFonts w:ascii="Source Sans Pro" w:hAnsi="Source Sans Pro"/>
          <w:sz w:val="22"/>
          <w:szCs w:val="28"/>
        </w:rPr>
        <w:t xml:space="preserve">proposed </w:t>
      </w:r>
      <w:r w:rsidRPr="00881EAA">
        <w:rPr>
          <w:rFonts w:ascii="Source Sans Pro" w:hAnsi="Source Sans Pro"/>
          <w:sz w:val="22"/>
          <w:szCs w:val="28"/>
        </w:rPr>
        <w:t>balance between need and supply</w:t>
      </w:r>
      <w:r w:rsidR="008C09CB">
        <w:rPr>
          <w:rFonts w:ascii="Source Sans Pro" w:hAnsi="Source Sans Pro"/>
          <w:sz w:val="22"/>
          <w:szCs w:val="28"/>
        </w:rPr>
        <w:t xml:space="preserve"> suggested by the Local A</w:t>
      </w:r>
      <w:r w:rsidR="0074766D">
        <w:rPr>
          <w:rFonts w:ascii="Source Sans Pro" w:hAnsi="Source Sans Pro"/>
          <w:sz w:val="22"/>
          <w:szCs w:val="28"/>
        </w:rPr>
        <w:t>u</w:t>
      </w:r>
      <w:r w:rsidR="008C09CB">
        <w:rPr>
          <w:rFonts w:ascii="Source Sans Pro" w:hAnsi="Source Sans Pro"/>
          <w:sz w:val="22"/>
          <w:szCs w:val="28"/>
        </w:rPr>
        <w:t>thority</w:t>
      </w:r>
      <w:r w:rsidRPr="00881EAA">
        <w:rPr>
          <w:rFonts w:ascii="Source Sans Pro" w:hAnsi="Source Sans Pro"/>
          <w:sz w:val="22"/>
          <w:szCs w:val="28"/>
        </w:rPr>
        <w:t xml:space="preserve">.  This is illustrated </w:t>
      </w:r>
      <w:r w:rsidR="00E607C7">
        <w:rPr>
          <w:rFonts w:ascii="Source Sans Pro" w:hAnsi="Source Sans Pro"/>
          <w:sz w:val="22"/>
          <w:szCs w:val="28"/>
        </w:rPr>
        <w:t>overleaf</w:t>
      </w:r>
      <w:r w:rsidRPr="00881EAA">
        <w:rPr>
          <w:rFonts w:ascii="Source Sans Pro" w:hAnsi="Source Sans Pro"/>
          <w:sz w:val="22"/>
          <w:szCs w:val="28"/>
        </w:rPr>
        <w:t xml:space="preserve"> by </w:t>
      </w:r>
      <w:r w:rsidR="00193DBF">
        <w:rPr>
          <w:rFonts w:ascii="Source Sans Pro" w:hAnsi="Source Sans Pro"/>
          <w:sz w:val="22"/>
          <w:szCs w:val="28"/>
        </w:rPr>
        <w:t>T</w:t>
      </w:r>
      <w:r w:rsidRPr="00881EAA">
        <w:rPr>
          <w:rFonts w:ascii="Source Sans Pro" w:hAnsi="Source Sans Pro"/>
          <w:sz w:val="22"/>
          <w:szCs w:val="28"/>
        </w:rPr>
        <w:t xml:space="preserve">able </w:t>
      </w:r>
      <w:r>
        <w:rPr>
          <w:rFonts w:ascii="Source Sans Pro" w:hAnsi="Source Sans Pro"/>
          <w:sz w:val="22"/>
          <w:szCs w:val="28"/>
        </w:rPr>
        <w:t xml:space="preserve">1, which </w:t>
      </w:r>
      <w:r w:rsidRPr="00881EAA">
        <w:rPr>
          <w:rFonts w:ascii="Source Sans Pro" w:hAnsi="Source Sans Pro"/>
          <w:sz w:val="22"/>
          <w:szCs w:val="28"/>
        </w:rPr>
        <w:t xml:space="preserve">sets out different scenarios for local supply and need and the resulting effect on the net shortfall or surplus.  </w:t>
      </w:r>
    </w:p>
    <w:p w14:paraId="744F8D5A" w14:textId="2BFA74DF" w:rsidR="002376FE" w:rsidRDefault="002376FE" w:rsidP="002376FE">
      <w:pPr>
        <w:spacing w:before="240"/>
        <w:jc w:val="both"/>
        <w:rPr>
          <w:rFonts w:ascii="Source Sans Pro" w:hAnsi="Source Sans Pro"/>
          <w:sz w:val="22"/>
        </w:rPr>
      </w:pPr>
    </w:p>
    <w:p w14:paraId="426260AF" w14:textId="5323F2F6" w:rsidR="002376FE" w:rsidRDefault="002376FE" w:rsidP="002376FE">
      <w:pPr>
        <w:spacing w:before="240"/>
        <w:jc w:val="both"/>
        <w:rPr>
          <w:rFonts w:ascii="Source Sans Pro" w:hAnsi="Source Sans Pro"/>
          <w:sz w:val="22"/>
        </w:rPr>
      </w:pPr>
    </w:p>
    <w:p w14:paraId="252CBBF5" w14:textId="403371C2" w:rsidR="002376FE" w:rsidRDefault="002376FE" w:rsidP="002376FE">
      <w:pPr>
        <w:spacing w:before="240"/>
        <w:jc w:val="both"/>
        <w:rPr>
          <w:rFonts w:ascii="Source Sans Pro" w:hAnsi="Source Sans Pro"/>
          <w:sz w:val="22"/>
        </w:rPr>
      </w:pPr>
    </w:p>
    <w:p w14:paraId="109FEB75" w14:textId="77777777" w:rsidR="002376FE" w:rsidRPr="002376FE" w:rsidRDefault="002376FE" w:rsidP="002376FE">
      <w:pPr>
        <w:spacing w:before="240"/>
        <w:jc w:val="both"/>
        <w:rPr>
          <w:rFonts w:ascii="Source Sans Pro" w:hAnsi="Source Sans Pro"/>
          <w:sz w:val="22"/>
        </w:rPr>
      </w:pPr>
    </w:p>
    <w:p w14:paraId="7A191A13" w14:textId="77777777" w:rsidR="002376FE" w:rsidRPr="00201205" w:rsidRDefault="002376FE" w:rsidP="00290978">
      <w:pPr>
        <w:pStyle w:val="ListParagraph"/>
        <w:spacing w:before="240"/>
        <w:ind w:left="284"/>
        <w:contextualSpacing w:val="0"/>
        <w:jc w:val="both"/>
        <w:rPr>
          <w:rFonts w:ascii="Source Sans Pro" w:hAnsi="Source Sans Pro"/>
          <w:sz w:val="22"/>
        </w:rPr>
      </w:pPr>
    </w:p>
    <w:p w14:paraId="48549E9F" w14:textId="77777777" w:rsidR="002376FE" w:rsidRDefault="002376FE" w:rsidP="00290978">
      <w:pPr>
        <w:pStyle w:val="BodyTextJLL"/>
        <w:ind w:left="720" w:hanging="862"/>
        <w:rPr>
          <w:i/>
          <w:iCs/>
        </w:rPr>
      </w:pPr>
      <w:r w:rsidRPr="001761EE">
        <w:rPr>
          <w:i/>
          <w:iCs/>
        </w:rPr>
        <w:t xml:space="preserve">Table 1: </w:t>
      </w:r>
      <w:r>
        <w:rPr>
          <w:i/>
          <w:iCs/>
        </w:rPr>
        <w:t>S</w:t>
      </w:r>
      <w:r w:rsidRPr="001761EE">
        <w:rPr>
          <w:i/>
          <w:iCs/>
        </w:rPr>
        <w:t xml:space="preserve">cenarios showing balance between local supply and need in South Staffordshire </w:t>
      </w:r>
    </w:p>
    <w:tbl>
      <w:tblPr>
        <w:tblStyle w:val="TableGrid"/>
        <w:tblW w:w="9448" w:type="dxa"/>
        <w:tblInd w:w="-147" w:type="dxa"/>
        <w:tblLayout w:type="fixed"/>
        <w:tblLook w:val="04A0" w:firstRow="1" w:lastRow="0" w:firstColumn="1" w:lastColumn="0" w:noHBand="0" w:noVBand="1"/>
      </w:tblPr>
      <w:tblGrid>
        <w:gridCol w:w="851"/>
        <w:gridCol w:w="2835"/>
        <w:gridCol w:w="1146"/>
        <w:gridCol w:w="1122"/>
        <w:gridCol w:w="1134"/>
        <w:gridCol w:w="1276"/>
        <w:gridCol w:w="1084"/>
      </w:tblGrid>
      <w:tr w:rsidR="00290978" w14:paraId="440643EF" w14:textId="77777777" w:rsidTr="00290978">
        <w:trPr>
          <w:trHeight w:val="832"/>
        </w:trPr>
        <w:tc>
          <w:tcPr>
            <w:tcW w:w="851" w:type="dxa"/>
            <w:shd w:val="clear" w:color="auto" w:fill="D9D9D9" w:themeFill="background1" w:themeFillShade="D9"/>
          </w:tcPr>
          <w:p w14:paraId="71560AFB" w14:textId="77777777" w:rsidR="002376FE" w:rsidRPr="001761EE" w:rsidRDefault="002376FE" w:rsidP="00290978">
            <w:pPr>
              <w:pStyle w:val="BodyTextJLL"/>
              <w:ind w:hanging="111"/>
              <w:rPr>
                <w:b/>
                <w:bCs/>
                <w:sz w:val="18"/>
                <w:szCs w:val="18"/>
              </w:rPr>
            </w:pPr>
            <w:r w:rsidRPr="001761EE">
              <w:rPr>
                <w:b/>
                <w:bCs/>
                <w:sz w:val="18"/>
                <w:szCs w:val="18"/>
              </w:rPr>
              <w:t>Scenario</w:t>
            </w:r>
          </w:p>
        </w:tc>
        <w:tc>
          <w:tcPr>
            <w:tcW w:w="2835" w:type="dxa"/>
            <w:shd w:val="clear" w:color="auto" w:fill="D9D9D9" w:themeFill="background1" w:themeFillShade="D9"/>
          </w:tcPr>
          <w:p w14:paraId="0CF03B7E" w14:textId="77777777" w:rsidR="002376FE" w:rsidRPr="001761EE" w:rsidRDefault="002376FE" w:rsidP="009426BD">
            <w:pPr>
              <w:pStyle w:val="BodyTextJLL"/>
              <w:rPr>
                <w:b/>
                <w:bCs/>
                <w:sz w:val="18"/>
                <w:szCs w:val="18"/>
              </w:rPr>
            </w:pPr>
            <w:r w:rsidRPr="001761EE">
              <w:rPr>
                <w:b/>
                <w:bCs/>
                <w:sz w:val="18"/>
                <w:szCs w:val="18"/>
              </w:rPr>
              <w:t>Assumption</w:t>
            </w:r>
          </w:p>
        </w:tc>
        <w:tc>
          <w:tcPr>
            <w:tcW w:w="1146" w:type="dxa"/>
            <w:shd w:val="clear" w:color="auto" w:fill="D9D9D9" w:themeFill="background1" w:themeFillShade="D9"/>
          </w:tcPr>
          <w:p w14:paraId="7727116F" w14:textId="77777777" w:rsidR="002376FE" w:rsidRPr="001761EE" w:rsidRDefault="002376FE" w:rsidP="009426BD">
            <w:pPr>
              <w:pStyle w:val="BodyTextJLL"/>
              <w:jc w:val="center"/>
              <w:rPr>
                <w:b/>
                <w:bCs/>
                <w:sz w:val="18"/>
                <w:szCs w:val="18"/>
              </w:rPr>
            </w:pPr>
            <w:r w:rsidRPr="001761EE">
              <w:rPr>
                <w:b/>
                <w:bCs/>
                <w:sz w:val="18"/>
                <w:szCs w:val="18"/>
              </w:rPr>
              <w:t>Supply (hectares)</w:t>
            </w:r>
          </w:p>
        </w:tc>
        <w:tc>
          <w:tcPr>
            <w:tcW w:w="1122" w:type="dxa"/>
            <w:shd w:val="clear" w:color="auto" w:fill="D9D9D9" w:themeFill="background1" w:themeFillShade="D9"/>
          </w:tcPr>
          <w:p w14:paraId="30D4C629" w14:textId="77777777" w:rsidR="002376FE" w:rsidRPr="001761EE" w:rsidRDefault="002376FE" w:rsidP="009426BD">
            <w:pPr>
              <w:pStyle w:val="BodyTextJLL"/>
              <w:jc w:val="center"/>
              <w:rPr>
                <w:b/>
                <w:bCs/>
                <w:sz w:val="18"/>
                <w:szCs w:val="18"/>
              </w:rPr>
            </w:pPr>
            <w:r w:rsidRPr="001761EE">
              <w:rPr>
                <w:b/>
                <w:bCs/>
                <w:sz w:val="18"/>
                <w:szCs w:val="18"/>
              </w:rPr>
              <w:t>Need (hectares)</w:t>
            </w:r>
          </w:p>
        </w:tc>
        <w:tc>
          <w:tcPr>
            <w:tcW w:w="1134" w:type="dxa"/>
            <w:shd w:val="clear" w:color="auto" w:fill="D9D9D9" w:themeFill="background1" w:themeFillShade="D9"/>
          </w:tcPr>
          <w:p w14:paraId="6DC2F007" w14:textId="77777777" w:rsidR="002376FE" w:rsidRPr="001761EE" w:rsidRDefault="002376FE" w:rsidP="009426BD">
            <w:pPr>
              <w:pStyle w:val="BodyTextJLL"/>
              <w:jc w:val="center"/>
              <w:rPr>
                <w:b/>
                <w:bCs/>
                <w:sz w:val="18"/>
                <w:szCs w:val="18"/>
              </w:rPr>
            </w:pPr>
            <w:r w:rsidRPr="001761EE">
              <w:rPr>
                <w:b/>
                <w:bCs/>
                <w:sz w:val="18"/>
                <w:szCs w:val="18"/>
              </w:rPr>
              <w:t>Surplus/</w:t>
            </w:r>
            <w:r>
              <w:rPr>
                <w:b/>
                <w:bCs/>
                <w:sz w:val="18"/>
                <w:szCs w:val="18"/>
              </w:rPr>
              <w:t xml:space="preserve"> </w:t>
            </w:r>
            <w:r w:rsidRPr="001761EE">
              <w:rPr>
                <w:b/>
                <w:bCs/>
                <w:color w:val="FF0000"/>
                <w:sz w:val="18"/>
                <w:szCs w:val="18"/>
              </w:rPr>
              <w:t>Shortfall</w:t>
            </w:r>
            <w:r w:rsidRPr="001761EE">
              <w:rPr>
                <w:b/>
                <w:bCs/>
                <w:sz w:val="18"/>
                <w:szCs w:val="18"/>
              </w:rPr>
              <w:t xml:space="preserve"> (hectares)</w:t>
            </w:r>
          </w:p>
        </w:tc>
        <w:tc>
          <w:tcPr>
            <w:tcW w:w="1276" w:type="dxa"/>
            <w:shd w:val="clear" w:color="auto" w:fill="D9D9D9" w:themeFill="background1" w:themeFillShade="D9"/>
          </w:tcPr>
          <w:p w14:paraId="6A7F3447" w14:textId="77777777" w:rsidR="002376FE" w:rsidRPr="001761EE" w:rsidRDefault="002376FE" w:rsidP="009426BD">
            <w:pPr>
              <w:pStyle w:val="BodyTextJLL"/>
              <w:jc w:val="center"/>
              <w:rPr>
                <w:b/>
                <w:bCs/>
                <w:sz w:val="18"/>
                <w:szCs w:val="18"/>
              </w:rPr>
            </w:pPr>
            <w:r w:rsidRPr="001761EE">
              <w:rPr>
                <w:b/>
                <w:bCs/>
                <w:sz w:val="18"/>
                <w:szCs w:val="18"/>
              </w:rPr>
              <w:t>Contribution from WMI</w:t>
            </w:r>
            <w:r>
              <w:rPr>
                <w:b/>
                <w:bCs/>
                <w:sz w:val="18"/>
                <w:szCs w:val="18"/>
              </w:rPr>
              <w:t xml:space="preserve"> </w:t>
            </w:r>
            <w:r w:rsidRPr="001761EE">
              <w:rPr>
                <w:b/>
                <w:bCs/>
                <w:sz w:val="18"/>
                <w:szCs w:val="18"/>
              </w:rPr>
              <w:t>(hectares)</w:t>
            </w:r>
          </w:p>
        </w:tc>
        <w:tc>
          <w:tcPr>
            <w:tcW w:w="1084" w:type="dxa"/>
            <w:shd w:val="clear" w:color="auto" w:fill="D9D9D9" w:themeFill="background1" w:themeFillShade="D9"/>
          </w:tcPr>
          <w:p w14:paraId="2D056BD3" w14:textId="77777777" w:rsidR="002376FE" w:rsidRPr="001761EE" w:rsidRDefault="002376FE" w:rsidP="009426BD">
            <w:pPr>
              <w:pStyle w:val="BodyTextJLL"/>
              <w:jc w:val="center"/>
              <w:rPr>
                <w:b/>
                <w:bCs/>
                <w:sz w:val="18"/>
                <w:szCs w:val="18"/>
              </w:rPr>
            </w:pPr>
            <w:r w:rsidRPr="001761EE">
              <w:rPr>
                <w:b/>
                <w:bCs/>
                <w:sz w:val="18"/>
                <w:szCs w:val="18"/>
              </w:rPr>
              <w:t>Net Surplus/</w:t>
            </w:r>
            <w:r>
              <w:rPr>
                <w:b/>
                <w:bCs/>
                <w:sz w:val="18"/>
                <w:szCs w:val="18"/>
              </w:rPr>
              <w:t xml:space="preserve"> </w:t>
            </w:r>
            <w:r w:rsidRPr="001761EE">
              <w:rPr>
                <w:b/>
                <w:bCs/>
                <w:color w:val="FF0000"/>
                <w:sz w:val="18"/>
                <w:szCs w:val="18"/>
              </w:rPr>
              <w:t>Shortfall</w:t>
            </w:r>
            <w:r>
              <w:rPr>
                <w:b/>
                <w:bCs/>
                <w:color w:val="FF0000"/>
                <w:sz w:val="18"/>
                <w:szCs w:val="18"/>
              </w:rPr>
              <w:t xml:space="preserve"> </w:t>
            </w:r>
            <w:r w:rsidRPr="001761EE">
              <w:rPr>
                <w:b/>
                <w:bCs/>
                <w:color w:val="000000" w:themeColor="text1"/>
                <w:sz w:val="18"/>
                <w:szCs w:val="18"/>
              </w:rPr>
              <w:t>(hectares)</w:t>
            </w:r>
          </w:p>
        </w:tc>
      </w:tr>
      <w:tr w:rsidR="002376FE" w14:paraId="54383B53" w14:textId="77777777" w:rsidTr="00290978">
        <w:trPr>
          <w:trHeight w:val="351"/>
        </w:trPr>
        <w:tc>
          <w:tcPr>
            <w:tcW w:w="851" w:type="dxa"/>
          </w:tcPr>
          <w:p w14:paraId="3F691033" w14:textId="77777777" w:rsidR="002376FE" w:rsidRPr="001761EE" w:rsidRDefault="002376FE" w:rsidP="009426BD">
            <w:pPr>
              <w:pStyle w:val="BodyTextJLL"/>
              <w:rPr>
                <w:sz w:val="18"/>
                <w:szCs w:val="18"/>
              </w:rPr>
            </w:pPr>
            <w:r>
              <w:rPr>
                <w:sz w:val="18"/>
                <w:szCs w:val="18"/>
              </w:rPr>
              <w:t>1</w:t>
            </w:r>
          </w:p>
        </w:tc>
        <w:tc>
          <w:tcPr>
            <w:tcW w:w="2835" w:type="dxa"/>
          </w:tcPr>
          <w:p w14:paraId="3C9F4F57" w14:textId="4E9BED29" w:rsidR="002376FE" w:rsidRPr="001761EE" w:rsidRDefault="002376FE" w:rsidP="009426BD">
            <w:pPr>
              <w:pStyle w:val="BodyTextJLL"/>
              <w:rPr>
                <w:sz w:val="18"/>
                <w:szCs w:val="18"/>
              </w:rPr>
            </w:pPr>
            <w:r>
              <w:rPr>
                <w:sz w:val="18"/>
                <w:szCs w:val="18"/>
              </w:rPr>
              <w:t xml:space="preserve">Publication </w:t>
            </w:r>
            <w:r w:rsidR="00191422">
              <w:rPr>
                <w:sz w:val="18"/>
                <w:szCs w:val="18"/>
              </w:rPr>
              <w:t>P</w:t>
            </w:r>
            <w:r>
              <w:rPr>
                <w:sz w:val="18"/>
                <w:szCs w:val="18"/>
              </w:rPr>
              <w:t>lan</w:t>
            </w:r>
          </w:p>
        </w:tc>
        <w:tc>
          <w:tcPr>
            <w:tcW w:w="1146" w:type="dxa"/>
          </w:tcPr>
          <w:p w14:paraId="46B39C24" w14:textId="77777777" w:rsidR="002376FE" w:rsidRPr="001761EE" w:rsidRDefault="002376FE" w:rsidP="009426BD">
            <w:pPr>
              <w:pStyle w:val="BodyTextJLL"/>
              <w:jc w:val="center"/>
              <w:rPr>
                <w:sz w:val="18"/>
                <w:szCs w:val="18"/>
              </w:rPr>
            </w:pPr>
            <w:r>
              <w:rPr>
                <w:sz w:val="18"/>
                <w:szCs w:val="18"/>
              </w:rPr>
              <w:t>99</w:t>
            </w:r>
          </w:p>
        </w:tc>
        <w:tc>
          <w:tcPr>
            <w:tcW w:w="1122" w:type="dxa"/>
          </w:tcPr>
          <w:p w14:paraId="7379DB41" w14:textId="77777777" w:rsidR="002376FE" w:rsidRPr="001761EE" w:rsidRDefault="002376FE" w:rsidP="009426BD">
            <w:pPr>
              <w:pStyle w:val="BodyTextJLL"/>
              <w:jc w:val="center"/>
              <w:rPr>
                <w:sz w:val="18"/>
                <w:szCs w:val="18"/>
              </w:rPr>
            </w:pPr>
            <w:r>
              <w:rPr>
                <w:sz w:val="18"/>
                <w:szCs w:val="18"/>
              </w:rPr>
              <w:t>63</w:t>
            </w:r>
          </w:p>
        </w:tc>
        <w:tc>
          <w:tcPr>
            <w:tcW w:w="1134" w:type="dxa"/>
          </w:tcPr>
          <w:p w14:paraId="24DD4613" w14:textId="77777777" w:rsidR="002376FE" w:rsidRPr="001761EE" w:rsidRDefault="002376FE" w:rsidP="009426BD">
            <w:pPr>
              <w:pStyle w:val="BodyTextJLL"/>
              <w:jc w:val="center"/>
              <w:rPr>
                <w:sz w:val="18"/>
                <w:szCs w:val="18"/>
              </w:rPr>
            </w:pPr>
            <w:r>
              <w:rPr>
                <w:sz w:val="18"/>
                <w:szCs w:val="18"/>
              </w:rPr>
              <w:t>36</w:t>
            </w:r>
          </w:p>
        </w:tc>
        <w:tc>
          <w:tcPr>
            <w:tcW w:w="1276" w:type="dxa"/>
          </w:tcPr>
          <w:p w14:paraId="57D60B50" w14:textId="77777777" w:rsidR="002376FE" w:rsidRPr="001761EE" w:rsidRDefault="002376FE" w:rsidP="009426BD">
            <w:pPr>
              <w:pStyle w:val="BodyTextJLL"/>
              <w:jc w:val="center"/>
              <w:rPr>
                <w:sz w:val="18"/>
                <w:szCs w:val="18"/>
              </w:rPr>
            </w:pPr>
            <w:r>
              <w:rPr>
                <w:sz w:val="18"/>
                <w:szCs w:val="18"/>
              </w:rPr>
              <w:t>18.8</w:t>
            </w:r>
          </w:p>
        </w:tc>
        <w:tc>
          <w:tcPr>
            <w:tcW w:w="1084" w:type="dxa"/>
          </w:tcPr>
          <w:p w14:paraId="497CCFAF" w14:textId="77777777" w:rsidR="002376FE" w:rsidRPr="001761EE" w:rsidRDefault="002376FE" w:rsidP="009426BD">
            <w:pPr>
              <w:pStyle w:val="BodyTextJLL"/>
              <w:jc w:val="center"/>
              <w:rPr>
                <w:sz w:val="18"/>
                <w:szCs w:val="18"/>
              </w:rPr>
            </w:pPr>
            <w:r>
              <w:rPr>
                <w:sz w:val="18"/>
                <w:szCs w:val="18"/>
              </w:rPr>
              <w:t>54.8</w:t>
            </w:r>
          </w:p>
        </w:tc>
      </w:tr>
      <w:tr w:rsidR="002376FE" w14:paraId="1BFDA303" w14:textId="77777777" w:rsidTr="00290978">
        <w:trPr>
          <w:trHeight w:val="832"/>
        </w:trPr>
        <w:tc>
          <w:tcPr>
            <w:tcW w:w="851" w:type="dxa"/>
          </w:tcPr>
          <w:p w14:paraId="0C48B553" w14:textId="77777777" w:rsidR="002376FE" w:rsidRDefault="002376FE" w:rsidP="009426BD">
            <w:pPr>
              <w:pStyle w:val="BodyTextJLL"/>
              <w:rPr>
                <w:sz w:val="18"/>
                <w:szCs w:val="18"/>
              </w:rPr>
            </w:pPr>
            <w:r>
              <w:rPr>
                <w:sz w:val="18"/>
                <w:szCs w:val="18"/>
              </w:rPr>
              <w:t>2</w:t>
            </w:r>
          </w:p>
        </w:tc>
        <w:tc>
          <w:tcPr>
            <w:tcW w:w="2835" w:type="dxa"/>
          </w:tcPr>
          <w:p w14:paraId="5C60E048" w14:textId="07F5A079" w:rsidR="002376FE" w:rsidRDefault="002376FE" w:rsidP="009426BD">
            <w:pPr>
              <w:pStyle w:val="BodyTextJLL"/>
              <w:rPr>
                <w:sz w:val="18"/>
                <w:szCs w:val="18"/>
              </w:rPr>
            </w:pPr>
            <w:r>
              <w:rPr>
                <w:sz w:val="18"/>
                <w:szCs w:val="18"/>
              </w:rPr>
              <w:t xml:space="preserve">Supply without </w:t>
            </w:r>
            <w:r w:rsidR="00290978">
              <w:rPr>
                <w:sz w:val="18"/>
                <w:szCs w:val="18"/>
              </w:rPr>
              <w:t xml:space="preserve">western </w:t>
            </w:r>
            <w:r>
              <w:rPr>
                <w:sz w:val="18"/>
                <w:szCs w:val="18"/>
              </w:rPr>
              <w:t>extension to i54 (40 hectares).  Need as per 2022 EDNA</w:t>
            </w:r>
          </w:p>
        </w:tc>
        <w:tc>
          <w:tcPr>
            <w:tcW w:w="1146" w:type="dxa"/>
          </w:tcPr>
          <w:p w14:paraId="0B890DAA" w14:textId="77777777" w:rsidR="002376FE" w:rsidRDefault="002376FE" w:rsidP="009426BD">
            <w:pPr>
              <w:pStyle w:val="BodyTextJLL"/>
              <w:jc w:val="center"/>
              <w:rPr>
                <w:sz w:val="18"/>
                <w:szCs w:val="18"/>
              </w:rPr>
            </w:pPr>
            <w:r>
              <w:rPr>
                <w:sz w:val="18"/>
                <w:szCs w:val="18"/>
              </w:rPr>
              <w:t>59</w:t>
            </w:r>
          </w:p>
        </w:tc>
        <w:tc>
          <w:tcPr>
            <w:tcW w:w="1122" w:type="dxa"/>
          </w:tcPr>
          <w:p w14:paraId="23DDEEA1" w14:textId="77777777" w:rsidR="002376FE" w:rsidRDefault="002376FE" w:rsidP="009426BD">
            <w:pPr>
              <w:pStyle w:val="BodyTextJLL"/>
              <w:jc w:val="center"/>
              <w:rPr>
                <w:sz w:val="18"/>
                <w:szCs w:val="18"/>
              </w:rPr>
            </w:pPr>
            <w:r>
              <w:rPr>
                <w:sz w:val="18"/>
                <w:szCs w:val="18"/>
              </w:rPr>
              <w:t>63</w:t>
            </w:r>
          </w:p>
        </w:tc>
        <w:tc>
          <w:tcPr>
            <w:tcW w:w="1134" w:type="dxa"/>
          </w:tcPr>
          <w:p w14:paraId="14184EFD" w14:textId="77777777" w:rsidR="002376FE" w:rsidRDefault="002376FE" w:rsidP="009426BD">
            <w:pPr>
              <w:pStyle w:val="BodyTextJLL"/>
              <w:jc w:val="center"/>
              <w:rPr>
                <w:sz w:val="18"/>
                <w:szCs w:val="18"/>
              </w:rPr>
            </w:pPr>
            <w:r w:rsidRPr="001761EE">
              <w:rPr>
                <w:color w:val="FF0000"/>
                <w:sz w:val="18"/>
                <w:szCs w:val="18"/>
              </w:rPr>
              <w:t>4</w:t>
            </w:r>
          </w:p>
        </w:tc>
        <w:tc>
          <w:tcPr>
            <w:tcW w:w="1276" w:type="dxa"/>
          </w:tcPr>
          <w:p w14:paraId="039AF1BE" w14:textId="77777777" w:rsidR="002376FE" w:rsidRDefault="002376FE" w:rsidP="009426BD">
            <w:pPr>
              <w:pStyle w:val="BodyTextJLL"/>
              <w:jc w:val="center"/>
              <w:rPr>
                <w:sz w:val="18"/>
                <w:szCs w:val="18"/>
              </w:rPr>
            </w:pPr>
            <w:r>
              <w:rPr>
                <w:sz w:val="18"/>
                <w:szCs w:val="18"/>
              </w:rPr>
              <w:t>18.8</w:t>
            </w:r>
          </w:p>
        </w:tc>
        <w:tc>
          <w:tcPr>
            <w:tcW w:w="1084" w:type="dxa"/>
          </w:tcPr>
          <w:p w14:paraId="6A38B17B" w14:textId="77777777" w:rsidR="002376FE" w:rsidRDefault="002376FE" w:rsidP="009426BD">
            <w:pPr>
              <w:pStyle w:val="BodyTextJLL"/>
              <w:jc w:val="center"/>
              <w:rPr>
                <w:sz w:val="18"/>
                <w:szCs w:val="18"/>
              </w:rPr>
            </w:pPr>
            <w:r>
              <w:rPr>
                <w:sz w:val="18"/>
                <w:szCs w:val="18"/>
              </w:rPr>
              <w:t>14.8</w:t>
            </w:r>
          </w:p>
        </w:tc>
      </w:tr>
      <w:tr w:rsidR="002376FE" w14:paraId="1E027408" w14:textId="77777777" w:rsidTr="00290978">
        <w:trPr>
          <w:trHeight w:val="1072"/>
        </w:trPr>
        <w:tc>
          <w:tcPr>
            <w:tcW w:w="851" w:type="dxa"/>
          </w:tcPr>
          <w:p w14:paraId="6C637012" w14:textId="77777777" w:rsidR="002376FE" w:rsidRDefault="002376FE" w:rsidP="009426BD">
            <w:pPr>
              <w:pStyle w:val="BodyTextJLL"/>
              <w:rPr>
                <w:sz w:val="18"/>
                <w:szCs w:val="18"/>
              </w:rPr>
            </w:pPr>
            <w:r>
              <w:rPr>
                <w:sz w:val="18"/>
                <w:szCs w:val="18"/>
              </w:rPr>
              <w:t>3</w:t>
            </w:r>
          </w:p>
        </w:tc>
        <w:tc>
          <w:tcPr>
            <w:tcW w:w="2835" w:type="dxa"/>
          </w:tcPr>
          <w:p w14:paraId="3DCF5568" w14:textId="4850A04D" w:rsidR="002376FE" w:rsidRDefault="002376FE" w:rsidP="009426BD">
            <w:pPr>
              <w:pStyle w:val="BodyTextJLL"/>
              <w:rPr>
                <w:sz w:val="18"/>
                <w:szCs w:val="18"/>
              </w:rPr>
            </w:pPr>
            <w:r>
              <w:rPr>
                <w:sz w:val="18"/>
                <w:szCs w:val="18"/>
              </w:rPr>
              <w:t>Supply without ROF Featherstone (36 hectares) and</w:t>
            </w:r>
            <w:r w:rsidR="00290978">
              <w:rPr>
                <w:sz w:val="18"/>
                <w:szCs w:val="18"/>
              </w:rPr>
              <w:t xml:space="preserve"> western extension to</w:t>
            </w:r>
            <w:r>
              <w:rPr>
                <w:sz w:val="18"/>
                <w:szCs w:val="18"/>
              </w:rPr>
              <w:t xml:space="preserve"> i54.  Need as per EDNA 2022.</w:t>
            </w:r>
          </w:p>
        </w:tc>
        <w:tc>
          <w:tcPr>
            <w:tcW w:w="1146" w:type="dxa"/>
          </w:tcPr>
          <w:p w14:paraId="560C3BCA" w14:textId="77777777" w:rsidR="002376FE" w:rsidRDefault="002376FE" w:rsidP="009426BD">
            <w:pPr>
              <w:pStyle w:val="BodyTextJLL"/>
              <w:jc w:val="center"/>
              <w:rPr>
                <w:sz w:val="18"/>
                <w:szCs w:val="18"/>
              </w:rPr>
            </w:pPr>
            <w:r>
              <w:rPr>
                <w:sz w:val="18"/>
                <w:szCs w:val="18"/>
              </w:rPr>
              <w:t>23</w:t>
            </w:r>
          </w:p>
        </w:tc>
        <w:tc>
          <w:tcPr>
            <w:tcW w:w="1122" w:type="dxa"/>
          </w:tcPr>
          <w:p w14:paraId="2E5E9963" w14:textId="77777777" w:rsidR="002376FE" w:rsidRDefault="002376FE" w:rsidP="009426BD">
            <w:pPr>
              <w:pStyle w:val="BodyTextJLL"/>
              <w:jc w:val="center"/>
              <w:rPr>
                <w:sz w:val="18"/>
                <w:szCs w:val="18"/>
              </w:rPr>
            </w:pPr>
            <w:r>
              <w:rPr>
                <w:sz w:val="18"/>
                <w:szCs w:val="18"/>
              </w:rPr>
              <w:t>63</w:t>
            </w:r>
          </w:p>
        </w:tc>
        <w:tc>
          <w:tcPr>
            <w:tcW w:w="1134" w:type="dxa"/>
          </w:tcPr>
          <w:p w14:paraId="7E2F3F1B" w14:textId="77777777" w:rsidR="002376FE" w:rsidRPr="001761EE" w:rsidRDefault="002376FE" w:rsidP="009426BD">
            <w:pPr>
              <w:pStyle w:val="BodyTextJLL"/>
              <w:jc w:val="center"/>
              <w:rPr>
                <w:color w:val="FF0000"/>
                <w:sz w:val="18"/>
                <w:szCs w:val="18"/>
              </w:rPr>
            </w:pPr>
            <w:r>
              <w:rPr>
                <w:color w:val="FF0000"/>
                <w:sz w:val="18"/>
                <w:szCs w:val="18"/>
              </w:rPr>
              <w:t>40</w:t>
            </w:r>
          </w:p>
        </w:tc>
        <w:tc>
          <w:tcPr>
            <w:tcW w:w="1276" w:type="dxa"/>
          </w:tcPr>
          <w:p w14:paraId="7594EE55" w14:textId="77777777" w:rsidR="002376FE" w:rsidRDefault="002376FE" w:rsidP="009426BD">
            <w:pPr>
              <w:pStyle w:val="BodyTextJLL"/>
              <w:jc w:val="center"/>
              <w:rPr>
                <w:sz w:val="18"/>
                <w:szCs w:val="18"/>
              </w:rPr>
            </w:pPr>
            <w:r>
              <w:rPr>
                <w:sz w:val="18"/>
                <w:szCs w:val="18"/>
              </w:rPr>
              <w:t>18.8</w:t>
            </w:r>
          </w:p>
        </w:tc>
        <w:tc>
          <w:tcPr>
            <w:tcW w:w="1084" w:type="dxa"/>
          </w:tcPr>
          <w:p w14:paraId="6D883913" w14:textId="77777777" w:rsidR="002376FE" w:rsidRDefault="002376FE" w:rsidP="009426BD">
            <w:pPr>
              <w:pStyle w:val="BodyTextJLL"/>
              <w:jc w:val="center"/>
              <w:rPr>
                <w:sz w:val="18"/>
                <w:szCs w:val="18"/>
              </w:rPr>
            </w:pPr>
            <w:r w:rsidRPr="001761EE">
              <w:rPr>
                <w:color w:val="FF0000"/>
                <w:sz w:val="18"/>
                <w:szCs w:val="18"/>
              </w:rPr>
              <w:t>21.2</w:t>
            </w:r>
          </w:p>
        </w:tc>
      </w:tr>
      <w:tr w:rsidR="002376FE" w14:paraId="57114A3D" w14:textId="77777777" w:rsidTr="00290978">
        <w:trPr>
          <w:trHeight w:val="1794"/>
        </w:trPr>
        <w:tc>
          <w:tcPr>
            <w:tcW w:w="851" w:type="dxa"/>
          </w:tcPr>
          <w:p w14:paraId="5F2A208F" w14:textId="77777777" w:rsidR="002376FE" w:rsidRDefault="002376FE" w:rsidP="009426BD">
            <w:pPr>
              <w:pStyle w:val="BodyTextJLL"/>
              <w:rPr>
                <w:sz w:val="18"/>
                <w:szCs w:val="18"/>
              </w:rPr>
            </w:pPr>
            <w:r>
              <w:rPr>
                <w:sz w:val="18"/>
                <w:szCs w:val="18"/>
              </w:rPr>
              <w:t>4</w:t>
            </w:r>
          </w:p>
        </w:tc>
        <w:tc>
          <w:tcPr>
            <w:tcW w:w="2835" w:type="dxa"/>
          </w:tcPr>
          <w:p w14:paraId="6E2FFCFE" w14:textId="6A7FEC1B" w:rsidR="002376FE" w:rsidRDefault="002376FE" w:rsidP="009426BD">
            <w:pPr>
              <w:pStyle w:val="BodyTextJLL"/>
              <w:rPr>
                <w:sz w:val="18"/>
                <w:szCs w:val="18"/>
              </w:rPr>
            </w:pPr>
            <w:r>
              <w:rPr>
                <w:sz w:val="18"/>
                <w:szCs w:val="18"/>
              </w:rPr>
              <w:t>Supply without ROF Featherstone</w:t>
            </w:r>
            <w:r w:rsidR="00290978">
              <w:rPr>
                <w:sz w:val="18"/>
                <w:szCs w:val="18"/>
              </w:rPr>
              <w:t>,</w:t>
            </w:r>
            <w:r>
              <w:rPr>
                <w:sz w:val="18"/>
                <w:szCs w:val="18"/>
              </w:rPr>
              <w:t xml:space="preserve"> </w:t>
            </w:r>
            <w:r w:rsidR="00290978">
              <w:rPr>
                <w:sz w:val="18"/>
                <w:szCs w:val="18"/>
              </w:rPr>
              <w:t xml:space="preserve">western extension to </w:t>
            </w:r>
            <w:r>
              <w:rPr>
                <w:sz w:val="18"/>
                <w:szCs w:val="18"/>
              </w:rPr>
              <w:t>i54</w:t>
            </w:r>
            <w:r w:rsidR="00290978">
              <w:rPr>
                <w:sz w:val="18"/>
                <w:szCs w:val="18"/>
              </w:rPr>
              <w:t>, and Hobnock Road (5.2 hectares)</w:t>
            </w:r>
            <w:r>
              <w:rPr>
                <w:sz w:val="18"/>
                <w:szCs w:val="18"/>
              </w:rPr>
              <w:t>.  Need as per JLL’s critique of EDNA 2022 (i.e including take</w:t>
            </w:r>
            <w:r w:rsidR="00191422">
              <w:rPr>
                <w:sz w:val="18"/>
                <w:szCs w:val="18"/>
              </w:rPr>
              <w:t>-</w:t>
            </w:r>
            <w:r>
              <w:rPr>
                <w:sz w:val="18"/>
                <w:szCs w:val="18"/>
              </w:rPr>
              <w:t xml:space="preserve">up at Four Ashes in projecting need on </w:t>
            </w:r>
            <w:r w:rsidR="00290978">
              <w:rPr>
                <w:sz w:val="18"/>
                <w:szCs w:val="18"/>
              </w:rPr>
              <w:t xml:space="preserve">past </w:t>
            </w:r>
            <w:r>
              <w:rPr>
                <w:sz w:val="18"/>
                <w:szCs w:val="18"/>
              </w:rPr>
              <w:t>completions</w:t>
            </w:r>
            <w:r w:rsidR="00290978">
              <w:rPr>
                <w:sz w:val="18"/>
                <w:szCs w:val="18"/>
              </w:rPr>
              <w:t xml:space="preserve"> trend </w:t>
            </w:r>
            <w:r>
              <w:rPr>
                <w:sz w:val="18"/>
                <w:szCs w:val="18"/>
              </w:rPr>
              <w:t>method).</w:t>
            </w:r>
          </w:p>
        </w:tc>
        <w:tc>
          <w:tcPr>
            <w:tcW w:w="1146" w:type="dxa"/>
          </w:tcPr>
          <w:p w14:paraId="42097D75" w14:textId="0B8045CD" w:rsidR="002376FE" w:rsidRDefault="00290978" w:rsidP="009426BD">
            <w:pPr>
              <w:pStyle w:val="BodyTextJLL"/>
              <w:jc w:val="center"/>
              <w:rPr>
                <w:sz w:val="18"/>
                <w:szCs w:val="18"/>
              </w:rPr>
            </w:pPr>
            <w:r>
              <w:rPr>
                <w:sz w:val="18"/>
                <w:szCs w:val="18"/>
              </w:rPr>
              <w:t>17.8</w:t>
            </w:r>
          </w:p>
        </w:tc>
        <w:tc>
          <w:tcPr>
            <w:tcW w:w="1122" w:type="dxa"/>
          </w:tcPr>
          <w:p w14:paraId="011EBB9D" w14:textId="77777777" w:rsidR="002376FE" w:rsidRDefault="002376FE" w:rsidP="009426BD">
            <w:pPr>
              <w:pStyle w:val="BodyTextJLL"/>
              <w:jc w:val="center"/>
              <w:rPr>
                <w:sz w:val="18"/>
                <w:szCs w:val="18"/>
              </w:rPr>
            </w:pPr>
            <w:r>
              <w:rPr>
                <w:sz w:val="18"/>
                <w:szCs w:val="18"/>
              </w:rPr>
              <w:t>127</w:t>
            </w:r>
          </w:p>
        </w:tc>
        <w:tc>
          <w:tcPr>
            <w:tcW w:w="1134" w:type="dxa"/>
          </w:tcPr>
          <w:p w14:paraId="13101BCD" w14:textId="5EABB502" w:rsidR="002376FE" w:rsidRDefault="002376FE" w:rsidP="009426BD">
            <w:pPr>
              <w:pStyle w:val="BodyTextJLL"/>
              <w:jc w:val="center"/>
              <w:rPr>
                <w:color w:val="FF0000"/>
                <w:sz w:val="18"/>
                <w:szCs w:val="18"/>
              </w:rPr>
            </w:pPr>
            <w:r>
              <w:rPr>
                <w:color w:val="FF0000"/>
                <w:sz w:val="18"/>
                <w:szCs w:val="18"/>
              </w:rPr>
              <w:t>10</w:t>
            </w:r>
            <w:r w:rsidR="00290978">
              <w:rPr>
                <w:color w:val="FF0000"/>
                <w:sz w:val="18"/>
                <w:szCs w:val="18"/>
              </w:rPr>
              <w:t>9.2</w:t>
            </w:r>
          </w:p>
        </w:tc>
        <w:tc>
          <w:tcPr>
            <w:tcW w:w="1276" w:type="dxa"/>
          </w:tcPr>
          <w:p w14:paraId="6C074FED" w14:textId="77777777" w:rsidR="002376FE" w:rsidRDefault="002376FE" w:rsidP="009426BD">
            <w:pPr>
              <w:pStyle w:val="BodyTextJLL"/>
              <w:jc w:val="center"/>
              <w:rPr>
                <w:sz w:val="18"/>
                <w:szCs w:val="18"/>
              </w:rPr>
            </w:pPr>
            <w:r>
              <w:rPr>
                <w:sz w:val="18"/>
                <w:szCs w:val="18"/>
              </w:rPr>
              <w:t>18.8</w:t>
            </w:r>
          </w:p>
        </w:tc>
        <w:tc>
          <w:tcPr>
            <w:tcW w:w="1084" w:type="dxa"/>
          </w:tcPr>
          <w:p w14:paraId="6F92353D" w14:textId="4D27A482" w:rsidR="002376FE" w:rsidRPr="001761EE" w:rsidRDefault="00290978" w:rsidP="009426BD">
            <w:pPr>
              <w:pStyle w:val="BodyTextJLL"/>
              <w:jc w:val="center"/>
              <w:rPr>
                <w:color w:val="FF0000"/>
                <w:sz w:val="18"/>
                <w:szCs w:val="18"/>
              </w:rPr>
            </w:pPr>
            <w:r>
              <w:rPr>
                <w:color w:val="FF0000"/>
                <w:sz w:val="18"/>
                <w:szCs w:val="18"/>
              </w:rPr>
              <w:t>90.4</w:t>
            </w:r>
          </w:p>
        </w:tc>
      </w:tr>
    </w:tbl>
    <w:p w14:paraId="4D59E159" w14:textId="77777777" w:rsidR="002376FE" w:rsidRPr="001761EE" w:rsidRDefault="002376FE" w:rsidP="00290978">
      <w:pPr>
        <w:pStyle w:val="BodyTextJLL"/>
        <w:ind w:left="720" w:hanging="862"/>
      </w:pPr>
      <w:r w:rsidRPr="00F860C5">
        <w:rPr>
          <w:i/>
          <w:iCs/>
        </w:rPr>
        <w:t>Source</w:t>
      </w:r>
      <w:r>
        <w:rPr>
          <w:i/>
          <w:iCs/>
        </w:rPr>
        <w:t>:</w:t>
      </w:r>
      <w:r w:rsidRPr="00F860C5">
        <w:rPr>
          <w:i/>
          <w:iCs/>
        </w:rPr>
        <w:t xml:space="preserve"> JLL</w:t>
      </w:r>
    </w:p>
    <w:p w14:paraId="725EECAE" w14:textId="545924B8" w:rsidR="00CE36C6" w:rsidRPr="00201205" w:rsidRDefault="00CE36C6" w:rsidP="00CE36C6">
      <w:pPr>
        <w:pStyle w:val="ListParagraph"/>
        <w:numPr>
          <w:ilvl w:val="0"/>
          <w:numId w:val="39"/>
        </w:numPr>
        <w:spacing w:before="240"/>
        <w:ind w:hanging="720"/>
        <w:contextualSpacing w:val="0"/>
        <w:jc w:val="both"/>
        <w:rPr>
          <w:rFonts w:ascii="Source Sans Pro" w:hAnsi="Source Sans Pro"/>
          <w:sz w:val="22"/>
          <w:szCs w:val="28"/>
        </w:rPr>
      </w:pPr>
      <w:r w:rsidRPr="00201205">
        <w:rPr>
          <w:rFonts w:ascii="Source Sans Pro" w:hAnsi="Source Sans Pro"/>
          <w:sz w:val="22"/>
          <w:szCs w:val="28"/>
        </w:rPr>
        <w:t xml:space="preserve">Scenario 1 reflects the position set out by the </w:t>
      </w:r>
      <w:r w:rsidR="00191422">
        <w:rPr>
          <w:rFonts w:ascii="Source Sans Pro" w:hAnsi="Source Sans Pro"/>
          <w:sz w:val="22"/>
          <w:szCs w:val="28"/>
        </w:rPr>
        <w:t>P</w:t>
      </w:r>
      <w:r w:rsidRPr="00201205">
        <w:rPr>
          <w:rFonts w:ascii="Source Sans Pro" w:hAnsi="Source Sans Pro"/>
          <w:sz w:val="22"/>
          <w:szCs w:val="28"/>
        </w:rPr>
        <w:t xml:space="preserve">lan.  The </w:t>
      </w:r>
      <w:r w:rsidR="00191422">
        <w:rPr>
          <w:rFonts w:ascii="Source Sans Pro" w:hAnsi="Source Sans Pro"/>
          <w:sz w:val="22"/>
          <w:szCs w:val="28"/>
        </w:rPr>
        <w:t>P</w:t>
      </w:r>
      <w:r w:rsidRPr="00201205">
        <w:rPr>
          <w:rFonts w:ascii="Source Sans Pro" w:hAnsi="Source Sans Pro"/>
          <w:sz w:val="22"/>
          <w:szCs w:val="28"/>
        </w:rPr>
        <w:t xml:space="preserve">lan just refers to a shortfall of 36 hectares.  For reasons that are not clear to JLL, it does not seem to include the contribution from WMI.  The contribution from WMI is the one taken from the updated EDNA – i.e a maximum of 18.8 hectares.  However, the </w:t>
      </w:r>
      <w:r w:rsidRPr="00E607C7">
        <w:rPr>
          <w:rFonts w:ascii="Source Sans Pro" w:hAnsi="Source Sans Pro"/>
          <w:sz w:val="22"/>
          <w:szCs w:val="28"/>
        </w:rPr>
        <w:t>earlie</w:t>
      </w:r>
      <w:r w:rsidR="00191422" w:rsidRPr="00E607C7">
        <w:rPr>
          <w:rFonts w:ascii="Source Sans Pro" w:hAnsi="Source Sans Pro"/>
          <w:sz w:val="22"/>
          <w:szCs w:val="28"/>
        </w:rPr>
        <w:t>r</w:t>
      </w:r>
      <w:r w:rsidRPr="00E607C7">
        <w:rPr>
          <w:rFonts w:ascii="Source Sans Pro" w:hAnsi="Source Sans Pro"/>
          <w:sz w:val="22"/>
          <w:szCs w:val="28"/>
        </w:rPr>
        <w:t xml:space="preserve"> Stantec report</w:t>
      </w:r>
      <w:r w:rsidR="00E607C7">
        <w:rPr>
          <w:rFonts w:ascii="Source Sans Pro" w:hAnsi="Source Sans Pro"/>
          <w:sz w:val="22"/>
          <w:szCs w:val="28"/>
        </w:rPr>
        <w:t xml:space="preserve"> (West Midlands SRFI – Employment Issue Response Paper – whose need will the SRFI serve, February 2021)</w:t>
      </w:r>
      <w:r w:rsidR="00E607C7" w:rsidRPr="00E607C7">
        <w:rPr>
          <w:rStyle w:val="FootnoteReference"/>
          <w:rFonts w:ascii="Source Sans Pro" w:hAnsi="Source Sans Pro"/>
          <w:sz w:val="22"/>
          <w:szCs w:val="28"/>
        </w:rPr>
        <w:footnoteReference w:id="4"/>
      </w:r>
      <w:r w:rsidR="00707041" w:rsidRPr="00E607C7">
        <w:rPr>
          <w:rFonts w:ascii="Source Sans Pro" w:hAnsi="Source Sans Pro"/>
          <w:sz w:val="22"/>
          <w:szCs w:val="28"/>
        </w:rPr>
        <w:t xml:space="preserve"> </w:t>
      </w:r>
      <w:r w:rsidRPr="00201205">
        <w:rPr>
          <w:rFonts w:ascii="Source Sans Pro" w:hAnsi="Source Sans Pro"/>
          <w:sz w:val="22"/>
          <w:szCs w:val="28"/>
        </w:rPr>
        <w:t xml:space="preserve">commissioned by the Black Country Local Authorities, and quoted by all other authorities, measures this contribution at just 5 hectares.  We have adopted the higher figure to make </w:t>
      </w:r>
      <w:r w:rsidR="0074766D">
        <w:rPr>
          <w:rFonts w:ascii="Source Sans Pro" w:hAnsi="Source Sans Pro"/>
          <w:sz w:val="22"/>
          <w:szCs w:val="28"/>
        </w:rPr>
        <w:t>our</w:t>
      </w:r>
      <w:r w:rsidRPr="00201205">
        <w:rPr>
          <w:rFonts w:ascii="Source Sans Pro" w:hAnsi="Source Sans Pro"/>
          <w:sz w:val="22"/>
          <w:szCs w:val="28"/>
        </w:rPr>
        <w:t xml:space="preserve"> exercise as resilient as possible</w:t>
      </w:r>
      <w:r w:rsidR="00865715">
        <w:rPr>
          <w:rFonts w:ascii="Source Sans Pro" w:hAnsi="Source Sans Pro"/>
          <w:sz w:val="22"/>
          <w:szCs w:val="28"/>
        </w:rPr>
        <w:t>, but the lower figure would appear to be the more plausible one</w:t>
      </w:r>
      <w:r w:rsidRPr="00201205">
        <w:rPr>
          <w:rFonts w:ascii="Source Sans Pro" w:hAnsi="Source Sans Pro"/>
          <w:sz w:val="22"/>
          <w:szCs w:val="28"/>
        </w:rPr>
        <w:t xml:space="preserve">. </w:t>
      </w:r>
    </w:p>
    <w:p w14:paraId="3EAACF30" w14:textId="11F41F60" w:rsidR="00CE36C6" w:rsidRPr="00201205" w:rsidRDefault="00CE36C6" w:rsidP="00CE36C6">
      <w:pPr>
        <w:pStyle w:val="ListParagraph"/>
        <w:numPr>
          <w:ilvl w:val="0"/>
          <w:numId w:val="39"/>
        </w:numPr>
        <w:spacing w:before="240"/>
        <w:ind w:hanging="720"/>
        <w:contextualSpacing w:val="0"/>
        <w:jc w:val="both"/>
        <w:rPr>
          <w:rFonts w:ascii="Source Sans Pro" w:hAnsi="Source Sans Pro"/>
          <w:sz w:val="22"/>
          <w:szCs w:val="28"/>
        </w:rPr>
      </w:pPr>
      <w:r w:rsidRPr="00201205">
        <w:rPr>
          <w:rFonts w:ascii="Source Sans Pro" w:hAnsi="Source Sans Pro"/>
          <w:sz w:val="22"/>
          <w:szCs w:val="28"/>
        </w:rPr>
        <w:t xml:space="preserve">In </w:t>
      </w:r>
      <w:r w:rsidR="00191422">
        <w:rPr>
          <w:rFonts w:ascii="Source Sans Pro" w:hAnsi="Source Sans Pro"/>
          <w:sz w:val="22"/>
          <w:szCs w:val="28"/>
        </w:rPr>
        <w:t>S</w:t>
      </w:r>
      <w:r w:rsidRPr="00201205">
        <w:rPr>
          <w:rFonts w:ascii="Source Sans Pro" w:hAnsi="Source Sans Pro"/>
          <w:sz w:val="22"/>
          <w:szCs w:val="28"/>
        </w:rPr>
        <w:t>cenario 2, the 4</w:t>
      </w:r>
      <w:r w:rsidR="00191422">
        <w:rPr>
          <w:rFonts w:ascii="Source Sans Pro" w:hAnsi="Source Sans Pro"/>
          <w:sz w:val="22"/>
          <w:szCs w:val="28"/>
        </w:rPr>
        <w:t>0</w:t>
      </w:r>
      <w:r w:rsidRPr="00201205">
        <w:rPr>
          <w:rFonts w:ascii="Source Sans Pro" w:hAnsi="Source Sans Pro"/>
          <w:sz w:val="22"/>
          <w:szCs w:val="28"/>
        </w:rPr>
        <w:t xml:space="preserve"> hectares of the </w:t>
      </w:r>
      <w:r w:rsidR="0074766D">
        <w:rPr>
          <w:rFonts w:ascii="Source Sans Pro" w:hAnsi="Source Sans Pro"/>
          <w:sz w:val="22"/>
          <w:szCs w:val="28"/>
        </w:rPr>
        <w:t>i</w:t>
      </w:r>
      <w:r w:rsidRPr="00201205">
        <w:rPr>
          <w:rFonts w:ascii="Source Sans Pro" w:hAnsi="Source Sans Pro"/>
          <w:sz w:val="22"/>
          <w:szCs w:val="28"/>
        </w:rPr>
        <w:t>54 Western Extension is removed</w:t>
      </w:r>
      <w:r w:rsidR="0074766D">
        <w:rPr>
          <w:rFonts w:ascii="Source Sans Pro" w:hAnsi="Source Sans Pro"/>
          <w:sz w:val="22"/>
          <w:szCs w:val="28"/>
        </w:rPr>
        <w:t xml:space="preserve"> from supply</w:t>
      </w:r>
      <w:r w:rsidRPr="00201205">
        <w:rPr>
          <w:rFonts w:ascii="Source Sans Pro" w:hAnsi="Source Sans Pro"/>
          <w:sz w:val="22"/>
          <w:szCs w:val="28"/>
        </w:rPr>
        <w:t>.  This site forms part of the wider supply to meet the Black Country</w:t>
      </w:r>
      <w:r w:rsidR="00865715">
        <w:rPr>
          <w:rFonts w:ascii="Source Sans Pro" w:hAnsi="Source Sans Pro"/>
          <w:sz w:val="22"/>
          <w:szCs w:val="28"/>
        </w:rPr>
        <w:t>’</w:t>
      </w:r>
      <w:r w:rsidRPr="00201205">
        <w:rPr>
          <w:rFonts w:ascii="Source Sans Pro" w:hAnsi="Source Sans Pro"/>
          <w:sz w:val="22"/>
          <w:szCs w:val="28"/>
        </w:rPr>
        <w:t>s needs</w:t>
      </w:r>
      <w:r w:rsidR="00865715">
        <w:rPr>
          <w:rFonts w:ascii="Source Sans Pro" w:hAnsi="Source Sans Pro"/>
          <w:sz w:val="22"/>
          <w:szCs w:val="28"/>
        </w:rPr>
        <w:t xml:space="preserve">. It will be noted that delivery at i54 previously has been rejected in the EDNA as </w:t>
      </w:r>
      <w:r w:rsidRPr="00201205">
        <w:rPr>
          <w:rFonts w:ascii="Source Sans Pro" w:hAnsi="Source Sans Pro"/>
          <w:sz w:val="22"/>
          <w:szCs w:val="28"/>
        </w:rPr>
        <w:t xml:space="preserve">its development could be considered to be </w:t>
      </w:r>
      <w:r w:rsidR="00191422">
        <w:rPr>
          <w:rFonts w:ascii="Source Sans Pro" w:hAnsi="Source Sans Pro"/>
          <w:sz w:val="22"/>
          <w:szCs w:val="28"/>
        </w:rPr>
        <w:t>“</w:t>
      </w:r>
      <w:r w:rsidRPr="00201205">
        <w:rPr>
          <w:rFonts w:ascii="Source Sans Pro" w:hAnsi="Source Sans Pro"/>
          <w:sz w:val="22"/>
          <w:szCs w:val="28"/>
        </w:rPr>
        <w:t>atypical</w:t>
      </w:r>
      <w:r w:rsidR="00191422">
        <w:rPr>
          <w:rFonts w:ascii="Source Sans Pro" w:hAnsi="Source Sans Pro"/>
          <w:sz w:val="22"/>
          <w:szCs w:val="28"/>
        </w:rPr>
        <w:t>”</w:t>
      </w:r>
      <w:r w:rsidR="00865715">
        <w:rPr>
          <w:rFonts w:ascii="Source Sans Pro" w:hAnsi="Source Sans Pro"/>
          <w:sz w:val="22"/>
          <w:szCs w:val="28"/>
        </w:rPr>
        <w:t>. Therefore</w:t>
      </w:r>
      <w:r w:rsidR="005668E6">
        <w:rPr>
          <w:rFonts w:ascii="Source Sans Pro" w:hAnsi="Source Sans Pro"/>
          <w:sz w:val="22"/>
          <w:szCs w:val="28"/>
        </w:rPr>
        <w:t>,</w:t>
      </w:r>
      <w:r w:rsidRPr="00201205">
        <w:rPr>
          <w:rFonts w:ascii="Source Sans Pro" w:hAnsi="Source Sans Pro"/>
          <w:sz w:val="22"/>
          <w:szCs w:val="28"/>
        </w:rPr>
        <w:t xml:space="preserve"> if </w:t>
      </w:r>
      <w:r w:rsidR="00865715">
        <w:rPr>
          <w:rFonts w:ascii="Source Sans Pro" w:hAnsi="Source Sans Pro"/>
          <w:sz w:val="22"/>
          <w:szCs w:val="28"/>
        </w:rPr>
        <w:t xml:space="preserve">a consistent </w:t>
      </w:r>
      <w:r w:rsidRPr="00201205">
        <w:rPr>
          <w:rFonts w:ascii="Source Sans Pro" w:hAnsi="Source Sans Pro"/>
          <w:sz w:val="22"/>
          <w:szCs w:val="28"/>
        </w:rPr>
        <w:t xml:space="preserve">approach </w:t>
      </w:r>
      <w:r w:rsidR="00865715">
        <w:rPr>
          <w:rFonts w:ascii="Source Sans Pro" w:hAnsi="Source Sans Pro"/>
          <w:sz w:val="22"/>
          <w:szCs w:val="28"/>
        </w:rPr>
        <w:t>i</w:t>
      </w:r>
      <w:r w:rsidRPr="00201205">
        <w:rPr>
          <w:rFonts w:ascii="Source Sans Pro" w:hAnsi="Source Sans Pro"/>
          <w:sz w:val="22"/>
          <w:szCs w:val="28"/>
        </w:rPr>
        <w:t xml:space="preserve">s adopted </w:t>
      </w:r>
      <w:r w:rsidR="00865715">
        <w:rPr>
          <w:rFonts w:ascii="Source Sans Pro" w:hAnsi="Source Sans Pro"/>
          <w:sz w:val="22"/>
          <w:szCs w:val="28"/>
        </w:rPr>
        <w:t>to this site</w:t>
      </w:r>
      <w:r w:rsidR="0074766D">
        <w:rPr>
          <w:rFonts w:ascii="Source Sans Pro" w:hAnsi="Source Sans Pro"/>
          <w:sz w:val="22"/>
          <w:szCs w:val="28"/>
        </w:rPr>
        <w:t>,</w:t>
      </w:r>
      <w:r w:rsidR="00865715">
        <w:rPr>
          <w:rFonts w:ascii="Source Sans Pro" w:hAnsi="Source Sans Pro"/>
          <w:sz w:val="22"/>
          <w:szCs w:val="28"/>
        </w:rPr>
        <w:t xml:space="preserve"> as that of </w:t>
      </w:r>
      <w:r w:rsidRPr="00201205">
        <w:rPr>
          <w:rFonts w:ascii="Source Sans Pro" w:hAnsi="Source Sans Pro"/>
          <w:sz w:val="22"/>
          <w:szCs w:val="28"/>
        </w:rPr>
        <w:t>the assessment of need by the EDNA (using the past completions trend method)</w:t>
      </w:r>
      <w:r w:rsidR="0074766D">
        <w:rPr>
          <w:rFonts w:ascii="Source Sans Pro" w:hAnsi="Source Sans Pro"/>
          <w:sz w:val="22"/>
          <w:szCs w:val="28"/>
        </w:rPr>
        <w:t>, then the site logically does not form part of the supply to meet local needs</w:t>
      </w:r>
      <w:r w:rsidRPr="00201205">
        <w:rPr>
          <w:rFonts w:ascii="Source Sans Pro" w:hAnsi="Source Sans Pro"/>
          <w:sz w:val="22"/>
          <w:szCs w:val="28"/>
        </w:rPr>
        <w:t xml:space="preserve">.  This leaves a small shortfall of 4 hectares, but a surplus of 14.8 hectares if the maximum contribution from WMI </w:t>
      </w:r>
      <w:r w:rsidR="00191422">
        <w:rPr>
          <w:rFonts w:ascii="Source Sans Pro" w:hAnsi="Source Sans Pro"/>
          <w:sz w:val="22"/>
          <w:szCs w:val="28"/>
        </w:rPr>
        <w:t xml:space="preserve">is </w:t>
      </w:r>
      <w:r w:rsidRPr="00201205">
        <w:rPr>
          <w:rFonts w:ascii="Source Sans Pro" w:hAnsi="Source Sans Pro"/>
          <w:sz w:val="22"/>
          <w:szCs w:val="28"/>
        </w:rPr>
        <w:t>factored in.</w:t>
      </w:r>
    </w:p>
    <w:p w14:paraId="39DB4791" w14:textId="44973B61" w:rsidR="00CE36C6" w:rsidRPr="00201205" w:rsidRDefault="00CE36C6" w:rsidP="00CE36C6">
      <w:pPr>
        <w:pStyle w:val="ListParagraph"/>
        <w:numPr>
          <w:ilvl w:val="0"/>
          <w:numId w:val="39"/>
        </w:numPr>
        <w:spacing w:before="240"/>
        <w:ind w:hanging="720"/>
        <w:contextualSpacing w:val="0"/>
        <w:jc w:val="both"/>
        <w:rPr>
          <w:rFonts w:ascii="Source Sans Pro" w:hAnsi="Source Sans Pro"/>
          <w:sz w:val="22"/>
          <w:szCs w:val="28"/>
        </w:rPr>
      </w:pPr>
      <w:r w:rsidRPr="00201205">
        <w:rPr>
          <w:rFonts w:ascii="Source Sans Pro" w:hAnsi="Source Sans Pro"/>
          <w:sz w:val="22"/>
          <w:szCs w:val="28"/>
        </w:rPr>
        <w:lastRenderedPageBreak/>
        <w:t xml:space="preserve">Scenario 3 takes </w:t>
      </w:r>
      <w:r w:rsidR="00191422">
        <w:rPr>
          <w:rFonts w:ascii="Source Sans Pro" w:hAnsi="Source Sans Pro"/>
          <w:sz w:val="22"/>
          <w:szCs w:val="28"/>
        </w:rPr>
        <w:t>S</w:t>
      </w:r>
      <w:r w:rsidRPr="00201205">
        <w:rPr>
          <w:rFonts w:ascii="Source Sans Pro" w:hAnsi="Source Sans Pro"/>
          <w:sz w:val="22"/>
          <w:szCs w:val="28"/>
        </w:rPr>
        <w:t>cenario 2 as its bas</w:t>
      </w:r>
      <w:r w:rsidR="0074766D">
        <w:rPr>
          <w:rFonts w:ascii="Source Sans Pro" w:hAnsi="Source Sans Pro"/>
          <w:sz w:val="22"/>
          <w:szCs w:val="28"/>
        </w:rPr>
        <w:t>is</w:t>
      </w:r>
      <w:r w:rsidRPr="00201205">
        <w:rPr>
          <w:rFonts w:ascii="Source Sans Pro" w:hAnsi="Source Sans Pro"/>
          <w:sz w:val="22"/>
          <w:szCs w:val="28"/>
        </w:rPr>
        <w:t xml:space="preserve">, but removes </w:t>
      </w:r>
      <w:r w:rsidR="0074766D">
        <w:rPr>
          <w:rFonts w:ascii="Source Sans Pro" w:hAnsi="Source Sans Pro"/>
          <w:sz w:val="22"/>
          <w:szCs w:val="28"/>
        </w:rPr>
        <w:t xml:space="preserve">as well </w:t>
      </w:r>
      <w:r w:rsidRPr="00201205">
        <w:rPr>
          <w:rFonts w:ascii="Source Sans Pro" w:hAnsi="Source Sans Pro"/>
          <w:sz w:val="22"/>
          <w:szCs w:val="28"/>
        </w:rPr>
        <w:t>ROF Featherstone as part of the local supply</w:t>
      </w:r>
      <w:r w:rsidR="0074766D">
        <w:rPr>
          <w:rFonts w:ascii="Source Sans Pro" w:hAnsi="Source Sans Pro"/>
          <w:sz w:val="22"/>
          <w:szCs w:val="28"/>
        </w:rPr>
        <w:t>. L</w:t>
      </w:r>
      <w:r w:rsidRPr="00201205">
        <w:rPr>
          <w:rFonts w:ascii="Source Sans Pro" w:hAnsi="Source Sans Pro"/>
          <w:sz w:val="22"/>
          <w:szCs w:val="28"/>
        </w:rPr>
        <w:t xml:space="preserve">ike the Western Extension to </w:t>
      </w:r>
      <w:r w:rsidR="005668E6">
        <w:rPr>
          <w:rFonts w:ascii="Source Sans Pro" w:hAnsi="Source Sans Pro"/>
          <w:sz w:val="22"/>
          <w:szCs w:val="28"/>
        </w:rPr>
        <w:t>i</w:t>
      </w:r>
      <w:r w:rsidRPr="00201205">
        <w:rPr>
          <w:rFonts w:ascii="Source Sans Pro" w:hAnsi="Source Sans Pro"/>
          <w:sz w:val="22"/>
          <w:szCs w:val="28"/>
        </w:rPr>
        <w:t>54, it is expressly regarded by the Council (as per its Site Allocations Document 2018) to meet the needs of the Black Country and wider region.  This leads to a shortfall of 4</w:t>
      </w:r>
      <w:r w:rsidR="00191422">
        <w:rPr>
          <w:rFonts w:ascii="Source Sans Pro" w:hAnsi="Source Sans Pro"/>
          <w:sz w:val="22"/>
          <w:szCs w:val="28"/>
        </w:rPr>
        <w:t>0</w:t>
      </w:r>
      <w:r w:rsidRPr="00201205">
        <w:rPr>
          <w:rFonts w:ascii="Source Sans Pro" w:hAnsi="Source Sans Pro"/>
          <w:sz w:val="22"/>
          <w:szCs w:val="28"/>
        </w:rPr>
        <w:t xml:space="preserve"> hectares, reduced to 21.2 hectares once the maximum contribution to WMI is included.  </w:t>
      </w:r>
    </w:p>
    <w:p w14:paraId="6A879999" w14:textId="77777777" w:rsidR="0074766D" w:rsidRDefault="00CE36C6" w:rsidP="00CE36C6">
      <w:pPr>
        <w:pStyle w:val="ListParagraph"/>
        <w:numPr>
          <w:ilvl w:val="0"/>
          <w:numId w:val="39"/>
        </w:numPr>
        <w:spacing w:before="240"/>
        <w:ind w:hanging="720"/>
        <w:contextualSpacing w:val="0"/>
        <w:jc w:val="both"/>
        <w:rPr>
          <w:rFonts w:ascii="Source Sans Pro" w:hAnsi="Source Sans Pro"/>
          <w:sz w:val="22"/>
          <w:szCs w:val="28"/>
        </w:rPr>
      </w:pPr>
      <w:r w:rsidRPr="00201205">
        <w:rPr>
          <w:rFonts w:ascii="Source Sans Pro" w:hAnsi="Source Sans Pro"/>
          <w:sz w:val="22"/>
          <w:szCs w:val="28"/>
        </w:rPr>
        <w:t xml:space="preserve">Scenario 4 reflects this position with supply </w:t>
      </w:r>
      <w:r w:rsidR="0074766D">
        <w:rPr>
          <w:rFonts w:ascii="Source Sans Pro" w:hAnsi="Source Sans Pro"/>
          <w:sz w:val="22"/>
          <w:szCs w:val="28"/>
        </w:rPr>
        <w:t xml:space="preserve">(i.e Scenario 3) </w:t>
      </w:r>
      <w:r w:rsidRPr="00201205">
        <w:rPr>
          <w:rFonts w:ascii="Source Sans Pro" w:hAnsi="Source Sans Pro"/>
          <w:sz w:val="22"/>
          <w:szCs w:val="28"/>
        </w:rPr>
        <w:t>but removes also the Hob</w:t>
      </w:r>
      <w:r w:rsidR="00BE4142">
        <w:rPr>
          <w:rFonts w:ascii="Source Sans Pro" w:hAnsi="Source Sans Pro"/>
          <w:sz w:val="22"/>
          <w:szCs w:val="28"/>
        </w:rPr>
        <w:t>n</w:t>
      </w:r>
      <w:r w:rsidRPr="00201205">
        <w:rPr>
          <w:rFonts w:ascii="Source Sans Pro" w:hAnsi="Source Sans Pro"/>
          <w:sz w:val="22"/>
          <w:szCs w:val="28"/>
        </w:rPr>
        <w:t xml:space="preserve">ock Road site (5.2 hectares).  </w:t>
      </w:r>
      <w:r w:rsidR="0074766D">
        <w:rPr>
          <w:rFonts w:ascii="Source Sans Pro" w:hAnsi="Source Sans Pro"/>
          <w:sz w:val="22"/>
          <w:szCs w:val="28"/>
        </w:rPr>
        <w:t xml:space="preserve">The site has no planning status and is not proposed to be allocated. It should not be included in any assessment of supply. </w:t>
      </w:r>
      <w:r w:rsidRPr="00201205">
        <w:rPr>
          <w:rFonts w:ascii="Source Sans Pro" w:hAnsi="Source Sans Pro"/>
          <w:sz w:val="22"/>
          <w:szCs w:val="28"/>
        </w:rPr>
        <w:t xml:space="preserve">This reduces supply to 17.8 hectares.  </w:t>
      </w:r>
    </w:p>
    <w:p w14:paraId="413DC42B" w14:textId="77777777" w:rsidR="00280902" w:rsidRDefault="0074766D" w:rsidP="00CE36C6">
      <w:pPr>
        <w:pStyle w:val="ListParagraph"/>
        <w:numPr>
          <w:ilvl w:val="0"/>
          <w:numId w:val="39"/>
        </w:numPr>
        <w:spacing w:before="240"/>
        <w:ind w:hanging="720"/>
        <w:contextualSpacing w:val="0"/>
        <w:jc w:val="both"/>
        <w:rPr>
          <w:rFonts w:ascii="Source Sans Pro" w:hAnsi="Source Sans Pro"/>
          <w:sz w:val="22"/>
          <w:szCs w:val="28"/>
        </w:rPr>
      </w:pPr>
      <w:r>
        <w:rPr>
          <w:rFonts w:ascii="Source Sans Pro" w:hAnsi="Source Sans Pro"/>
          <w:sz w:val="22"/>
          <w:szCs w:val="28"/>
        </w:rPr>
        <w:t>Scenario 4</w:t>
      </w:r>
      <w:r w:rsidR="00CE36C6" w:rsidRPr="00201205">
        <w:rPr>
          <w:rFonts w:ascii="Source Sans Pro" w:hAnsi="Source Sans Pro"/>
          <w:sz w:val="22"/>
          <w:szCs w:val="28"/>
        </w:rPr>
        <w:t xml:space="preserve"> also introduces JLL’s assessment of the local need</w:t>
      </w:r>
      <w:r w:rsidR="00280902">
        <w:rPr>
          <w:rFonts w:ascii="Source Sans Pro" w:hAnsi="Source Sans Pro"/>
          <w:sz w:val="22"/>
          <w:szCs w:val="28"/>
        </w:rPr>
        <w:t xml:space="preserve">. JLL has assessed this to be </w:t>
      </w:r>
      <w:r w:rsidR="00BE4142">
        <w:rPr>
          <w:rFonts w:ascii="Source Sans Pro" w:hAnsi="Source Sans Pro"/>
          <w:sz w:val="22"/>
          <w:szCs w:val="28"/>
        </w:rPr>
        <w:t xml:space="preserve">a minimum of </w:t>
      </w:r>
      <w:r w:rsidR="00CE36C6" w:rsidRPr="00201205">
        <w:rPr>
          <w:rFonts w:ascii="Source Sans Pro" w:hAnsi="Source Sans Pro"/>
          <w:sz w:val="22"/>
          <w:szCs w:val="28"/>
        </w:rPr>
        <w:t xml:space="preserve">127 hectares.  </w:t>
      </w:r>
      <w:r w:rsidR="00280902">
        <w:rPr>
          <w:rFonts w:ascii="Source Sans Pro" w:hAnsi="Source Sans Pro"/>
          <w:sz w:val="22"/>
          <w:szCs w:val="28"/>
        </w:rPr>
        <w:t>This recognises that development at i54 (i.e JLR) has been “atypical;” of local need.</w:t>
      </w:r>
    </w:p>
    <w:p w14:paraId="2C556B6E" w14:textId="71A12210" w:rsidR="00CE36C6" w:rsidRPr="00201205" w:rsidRDefault="00CE36C6" w:rsidP="00CE36C6">
      <w:pPr>
        <w:pStyle w:val="ListParagraph"/>
        <w:numPr>
          <w:ilvl w:val="0"/>
          <w:numId w:val="39"/>
        </w:numPr>
        <w:spacing w:before="240"/>
        <w:ind w:hanging="720"/>
        <w:contextualSpacing w:val="0"/>
        <w:jc w:val="both"/>
        <w:rPr>
          <w:rFonts w:ascii="Source Sans Pro" w:hAnsi="Source Sans Pro"/>
          <w:sz w:val="22"/>
          <w:szCs w:val="28"/>
        </w:rPr>
      </w:pPr>
      <w:r w:rsidRPr="00201205">
        <w:rPr>
          <w:rFonts w:ascii="Source Sans Pro" w:hAnsi="Source Sans Pro"/>
          <w:sz w:val="22"/>
          <w:szCs w:val="28"/>
        </w:rPr>
        <w:t xml:space="preserve">JLL considers </w:t>
      </w:r>
      <w:r w:rsidR="005668E6">
        <w:rPr>
          <w:rFonts w:ascii="Source Sans Pro" w:hAnsi="Source Sans Pro"/>
          <w:sz w:val="22"/>
          <w:szCs w:val="28"/>
        </w:rPr>
        <w:t>S</w:t>
      </w:r>
      <w:r w:rsidR="00865715">
        <w:rPr>
          <w:rFonts w:ascii="Source Sans Pro" w:hAnsi="Source Sans Pro"/>
          <w:sz w:val="22"/>
          <w:szCs w:val="28"/>
        </w:rPr>
        <w:t>cenario 4</w:t>
      </w:r>
      <w:r w:rsidRPr="00201205">
        <w:rPr>
          <w:rFonts w:ascii="Source Sans Pro" w:hAnsi="Source Sans Pro"/>
          <w:sz w:val="22"/>
          <w:szCs w:val="28"/>
        </w:rPr>
        <w:t xml:space="preserve"> to be </w:t>
      </w:r>
      <w:r w:rsidR="00865715">
        <w:rPr>
          <w:rFonts w:ascii="Source Sans Pro" w:hAnsi="Source Sans Pro"/>
          <w:sz w:val="22"/>
          <w:szCs w:val="28"/>
        </w:rPr>
        <w:t xml:space="preserve">the only </w:t>
      </w:r>
      <w:r w:rsidRPr="00201205">
        <w:rPr>
          <w:rFonts w:ascii="Source Sans Pro" w:hAnsi="Source Sans Pro"/>
          <w:sz w:val="22"/>
          <w:szCs w:val="28"/>
        </w:rPr>
        <w:t xml:space="preserve">logical and consistent approach.  Essentially, </w:t>
      </w:r>
      <w:r w:rsidR="00865715">
        <w:rPr>
          <w:rFonts w:ascii="Source Sans Pro" w:hAnsi="Source Sans Pro"/>
          <w:sz w:val="22"/>
          <w:szCs w:val="28"/>
        </w:rPr>
        <w:t>it seeks</w:t>
      </w:r>
      <w:r w:rsidRPr="00201205">
        <w:rPr>
          <w:rFonts w:ascii="Source Sans Pro" w:hAnsi="Source Sans Pro"/>
          <w:sz w:val="22"/>
          <w:szCs w:val="28"/>
        </w:rPr>
        <w:t xml:space="preserve"> to match local need against local supply.  The EDNA’s assessment of need and the Council's interpretation of what constitutes supply has not.  </w:t>
      </w:r>
    </w:p>
    <w:p w14:paraId="6407280F" w14:textId="7C93009F" w:rsidR="00CE36C6" w:rsidRPr="00201205" w:rsidRDefault="00CE36C6" w:rsidP="00CE36C6">
      <w:pPr>
        <w:pStyle w:val="ListParagraph"/>
        <w:numPr>
          <w:ilvl w:val="0"/>
          <w:numId w:val="39"/>
        </w:numPr>
        <w:spacing w:before="240"/>
        <w:ind w:hanging="720"/>
        <w:contextualSpacing w:val="0"/>
        <w:jc w:val="both"/>
        <w:rPr>
          <w:rFonts w:ascii="Source Sans Pro" w:hAnsi="Source Sans Pro"/>
          <w:sz w:val="22"/>
          <w:szCs w:val="28"/>
        </w:rPr>
      </w:pPr>
      <w:r w:rsidRPr="00201205">
        <w:rPr>
          <w:rFonts w:ascii="Source Sans Pro" w:hAnsi="Source Sans Pro"/>
          <w:sz w:val="22"/>
          <w:szCs w:val="28"/>
        </w:rPr>
        <w:t xml:space="preserve">JLL’s approach </w:t>
      </w:r>
      <w:r w:rsidR="00865715">
        <w:rPr>
          <w:rFonts w:ascii="Source Sans Pro" w:hAnsi="Source Sans Pro"/>
          <w:sz w:val="22"/>
          <w:szCs w:val="28"/>
        </w:rPr>
        <w:t>demonstrates</w:t>
      </w:r>
      <w:r w:rsidRPr="00201205">
        <w:rPr>
          <w:rFonts w:ascii="Source Sans Pro" w:hAnsi="Source Sans Pro"/>
          <w:sz w:val="22"/>
          <w:szCs w:val="28"/>
        </w:rPr>
        <w:t xml:space="preserve"> a shortfall of 109.2 hectares</w:t>
      </w:r>
      <w:r w:rsidR="00865715">
        <w:rPr>
          <w:rFonts w:ascii="Source Sans Pro" w:hAnsi="Source Sans Pro"/>
          <w:sz w:val="22"/>
          <w:szCs w:val="28"/>
        </w:rPr>
        <w:t xml:space="preserve">, </w:t>
      </w:r>
      <w:r w:rsidRPr="00201205">
        <w:rPr>
          <w:rFonts w:ascii="Source Sans Pro" w:hAnsi="Source Sans Pro"/>
          <w:sz w:val="22"/>
          <w:szCs w:val="28"/>
        </w:rPr>
        <w:t>reduc</w:t>
      </w:r>
      <w:r w:rsidR="00865715">
        <w:rPr>
          <w:rFonts w:ascii="Source Sans Pro" w:hAnsi="Source Sans Pro"/>
          <w:sz w:val="22"/>
          <w:szCs w:val="28"/>
        </w:rPr>
        <w:t>ing</w:t>
      </w:r>
      <w:r w:rsidRPr="00201205">
        <w:rPr>
          <w:rFonts w:ascii="Source Sans Pro" w:hAnsi="Source Sans Pro"/>
          <w:sz w:val="22"/>
          <w:szCs w:val="28"/>
        </w:rPr>
        <w:t xml:space="preserve"> to 90.4 hectares if the maximum contribution from WMI </w:t>
      </w:r>
      <w:r w:rsidR="00191422">
        <w:rPr>
          <w:rFonts w:ascii="Source Sans Pro" w:hAnsi="Source Sans Pro"/>
          <w:sz w:val="22"/>
          <w:szCs w:val="28"/>
        </w:rPr>
        <w:t>i</w:t>
      </w:r>
      <w:r w:rsidRPr="00201205">
        <w:rPr>
          <w:rFonts w:ascii="Source Sans Pro" w:hAnsi="Source Sans Pro"/>
          <w:sz w:val="22"/>
          <w:szCs w:val="28"/>
        </w:rPr>
        <w:t>s factored in</w:t>
      </w:r>
      <w:r w:rsidR="007622F8">
        <w:rPr>
          <w:rFonts w:ascii="Source Sans Pro" w:hAnsi="Source Sans Pro"/>
          <w:sz w:val="22"/>
          <w:szCs w:val="28"/>
        </w:rPr>
        <w:t>, which would be to go against the Stantec report</w:t>
      </w:r>
    </w:p>
    <w:p w14:paraId="0198C422" w14:textId="2920C904" w:rsidR="00CE36C6" w:rsidRPr="00201205" w:rsidRDefault="00CE36C6" w:rsidP="00CE36C6">
      <w:pPr>
        <w:pStyle w:val="ListParagraph"/>
        <w:numPr>
          <w:ilvl w:val="0"/>
          <w:numId w:val="39"/>
        </w:numPr>
        <w:spacing w:before="240"/>
        <w:ind w:hanging="720"/>
        <w:contextualSpacing w:val="0"/>
        <w:jc w:val="both"/>
        <w:rPr>
          <w:rFonts w:ascii="Source Sans Pro" w:hAnsi="Source Sans Pro"/>
          <w:sz w:val="22"/>
          <w:szCs w:val="28"/>
        </w:rPr>
      </w:pPr>
      <w:r w:rsidRPr="00201205">
        <w:rPr>
          <w:rFonts w:ascii="Source Sans Pro" w:hAnsi="Source Sans Pro"/>
          <w:sz w:val="22"/>
          <w:szCs w:val="28"/>
        </w:rPr>
        <w:t xml:space="preserve">It is noted further that of the supply of 17.8 hectares, 4.8 hectares has been developed (site E20 – Hilton Cross Business Park) and 2.8 hectares is under construction (site E14 </w:t>
      </w:r>
      <w:r w:rsidR="00191422">
        <w:rPr>
          <w:rFonts w:ascii="Source Sans Pro" w:hAnsi="Source Sans Pro"/>
          <w:sz w:val="22"/>
          <w:szCs w:val="28"/>
        </w:rPr>
        <w:t>-</w:t>
      </w:r>
      <w:r w:rsidRPr="00201205">
        <w:rPr>
          <w:rFonts w:ascii="Source Sans Pro" w:hAnsi="Source Sans Pro"/>
          <w:sz w:val="22"/>
          <w:szCs w:val="28"/>
        </w:rPr>
        <w:t xml:space="preserve"> Vernon Park).  The true quantum of available development land to meet local needs for the remainder of the plan period (to 2040) is just over 10 hectares.  </w:t>
      </w:r>
    </w:p>
    <w:p w14:paraId="5CA9096B" w14:textId="729A4793" w:rsidR="00CE36C6" w:rsidRDefault="00CE36C6" w:rsidP="00CE36C6">
      <w:pPr>
        <w:pStyle w:val="ListParagraph"/>
        <w:numPr>
          <w:ilvl w:val="0"/>
          <w:numId w:val="39"/>
        </w:numPr>
        <w:spacing w:before="240"/>
        <w:ind w:hanging="720"/>
        <w:contextualSpacing w:val="0"/>
        <w:jc w:val="both"/>
        <w:rPr>
          <w:rFonts w:ascii="Source Sans Pro" w:hAnsi="Source Sans Pro"/>
          <w:sz w:val="22"/>
          <w:szCs w:val="28"/>
        </w:rPr>
      </w:pPr>
      <w:r w:rsidRPr="00201205">
        <w:rPr>
          <w:rFonts w:ascii="Source Sans Pro" w:hAnsi="Source Sans Pro"/>
          <w:sz w:val="22"/>
          <w:szCs w:val="28"/>
        </w:rPr>
        <w:t xml:space="preserve">The extent of the shortfall is substantial.  Clearly, the plan needs to identify new sites (through </w:t>
      </w:r>
      <w:r w:rsidR="00191422">
        <w:rPr>
          <w:rFonts w:ascii="Source Sans Pro" w:hAnsi="Source Sans Pro"/>
          <w:sz w:val="22"/>
          <w:szCs w:val="28"/>
        </w:rPr>
        <w:t>P</w:t>
      </w:r>
      <w:r w:rsidRPr="00201205">
        <w:rPr>
          <w:rFonts w:ascii="Source Sans Pro" w:hAnsi="Source Sans Pro"/>
          <w:sz w:val="22"/>
          <w:szCs w:val="28"/>
        </w:rPr>
        <w:t>olicy SA7 – see separate representations by JLL) to meet local needs, with a quantitative and qualitative shortfall sufficient justification (i.e through exceptional circumstances) to release suitable sites from the Green</w:t>
      </w:r>
      <w:r w:rsidR="00191422">
        <w:rPr>
          <w:rFonts w:ascii="Source Sans Pro" w:hAnsi="Source Sans Pro"/>
          <w:sz w:val="22"/>
          <w:szCs w:val="28"/>
        </w:rPr>
        <w:t xml:space="preserve"> B</w:t>
      </w:r>
      <w:r w:rsidRPr="00201205">
        <w:rPr>
          <w:rFonts w:ascii="Source Sans Pro" w:hAnsi="Source Sans Pro"/>
          <w:sz w:val="22"/>
          <w:szCs w:val="28"/>
        </w:rPr>
        <w:t xml:space="preserve">elt.  </w:t>
      </w:r>
    </w:p>
    <w:p w14:paraId="5EA6031B" w14:textId="77777777" w:rsidR="007622F8" w:rsidRDefault="007622F8" w:rsidP="00CE36C6">
      <w:pPr>
        <w:pStyle w:val="ListParagraph"/>
        <w:spacing w:before="240"/>
        <w:contextualSpacing w:val="0"/>
        <w:jc w:val="both"/>
        <w:rPr>
          <w:rFonts w:ascii="Source Sans Pro" w:hAnsi="Source Sans Pro"/>
          <w:b/>
          <w:bCs/>
          <w:i/>
          <w:iCs/>
          <w:sz w:val="22"/>
          <w:szCs w:val="28"/>
        </w:rPr>
      </w:pPr>
    </w:p>
    <w:p w14:paraId="5BDB2922" w14:textId="004127F1" w:rsidR="00CE36C6" w:rsidRDefault="00CE36C6" w:rsidP="00CE36C6">
      <w:pPr>
        <w:pStyle w:val="ListParagraph"/>
        <w:spacing w:before="240"/>
        <w:contextualSpacing w:val="0"/>
        <w:jc w:val="both"/>
        <w:rPr>
          <w:rFonts w:ascii="Source Sans Pro" w:hAnsi="Source Sans Pro"/>
          <w:b/>
          <w:bCs/>
          <w:i/>
          <w:iCs/>
          <w:sz w:val="22"/>
          <w:szCs w:val="28"/>
        </w:rPr>
      </w:pPr>
      <w:r>
        <w:rPr>
          <w:rFonts w:ascii="Source Sans Pro" w:hAnsi="Source Sans Pro"/>
          <w:b/>
          <w:bCs/>
          <w:i/>
          <w:iCs/>
          <w:sz w:val="22"/>
          <w:szCs w:val="28"/>
        </w:rPr>
        <w:t xml:space="preserve">Contribution to Meeting Wider Employment Land Needs </w:t>
      </w:r>
    </w:p>
    <w:p w14:paraId="6929D7E4" w14:textId="77777777" w:rsidR="00296CC1" w:rsidRDefault="00296CC1" w:rsidP="00CE36C6">
      <w:pPr>
        <w:pStyle w:val="ListParagraph"/>
        <w:spacing w:before="240"/>
        <w:contextualSpacing w:val="0"/>
        <w:jc w:val="both"/>
        <w:rPr>
          <w:rFonts w:ascii="Source Sans Pro" w:hAnsi="Source Sans Pro"/>
          <w:b/>
          <w:bCs/>
          <w:i/>
          <w:iCs/>
          <w:sz w:val="22"/>
          <w:szCs w:val="28"/>
        </w:rPr>
      </w:pPr>
    </w:p>
    <w:p w14:paraId="09338EE0" w14:textId="37AC32CB" w:rsidR="00296CC1" w:rsidRDefault="00296CC1" w:rsidP="00296CC1">
      <w:pPr>
        <w:pStyle w:val="BodyTextJLL"/>
        <w:numPr>
          <w:ilvl w:val="0"/>
          <w:numId w:val="39"/>
        </w:numPr>
        <w:ind w:left="709" w:hanging="709"/>
      </w:pPr>
      <w:r>
        <w:t xml:space="preserve">Reference is drawn by </w:t>
      </w:r>
      <w:r w:rsidR="00BE4142">
        <w:t>paragraphs 5.59 to 5.62 of the draft Plan</w:t>
      </w:r>
      <w:r>
        <w:t xml:space="preserve"> to unmet needs in the wider FEMA – specifically, the shortfall of 210 hectares from the Black Country.  This is to be agreed through a statement of common ground, however, with the heavy implication that the surplus of 36 hectares, plus the 67 hectares of WMI which will contribute to the Black Country’s need (as per the Stantec Report), should be sufficient for this purpose.  </w:t>
      </w:r>
    </w:p>
    <w:p w14:paraId="6425688A" w14:textId="0A286B53" w:rsidR="00EA4ABC" w:rsidRDefault="00EA4ABC" w:rsidP="00EA4ABC">
      <w:pPr>
        <w:pStyle w:val="BodyTextJLL"/>
      </w:pPr>
    </w:p>
    <w:p w14:paraId="4BAA05ED" w14:textId="77777777" w:rsidR="00EA4ABC" w:rsidRDefault="00EA4ABC" w:rsidP="00EA4ABC">
      <w:pPr>
        <w:pStyle w:val="BodyTextJLL"/>
      </w:pPr>
    </w:p>
    <w:p w14:paraId="6ECE5F1C" w14:textId="37C3B27E" w:rsidR="00296CC1" w:rsidRDefault="00BE4142" w:rsidP="00296CC1">
      <w:pPr>
        <w:pStyle w:val="BodyTextJLL"/>
        <w:numPr>
          <w:ilvl w:val="0"/>
          <w:numId w:val="39"/>
        </w:numPr>
        <w:ind w:left="709" w:hanging="709"/>
      </w:pPr>
      <w:r>
        <w:lastRenderedPageBreak/>
        <w:t>A</w:t>
      </w:r>
      <w:r w:rsidR="00296CC1">
        <w:t xml:space="preserve"> draft statement of common ground with local planning authorities in South Staffordshire’s FEMA</w:t>
      </w:r>
      <w:r w:rsidR="00244318">
        <w:t xml:space="preserve"> is provided in </w:t>
      </w:r>
      <w:r w:rsidR="00296CC1">
        <w:t>Appendix C</w:t>
      </w:r>
      <w:r w:rsidR="00244318">
        <w:t xml:space="preserve"> of the Duty to Co-operate Topic Paper. It confirms that</w:t>
      </w:r>
      <w:r w:rsidR="00296CC1">
        <w:t>: -</w:t>
      </w:r>
    </w:p>
    <w:p w14:paraId="7E23B8F8" w14:textId="77777777" w:rsidR="00296CC1" w:rsidRDefault="00296CC1" w:rsidP="00296CC1">
      <w:pPr>
        <w:pStyle w:val="BulletOneJLL"/>
        <w:numPr>
          <w:ilvl w:val="0"/>
          <w:numId w:val="40"/>
        </w:numPr>
        <w:ind w:left="1276" w:hanging="567"/>
      </w:pPr>
      <w:r>
        <w:t xml:space="preserve">36.6 hectares of oversupply of employment land in South Staffordshire could contribute to the unmet needs identified by the Regulation 18 Draft Black Country Plan (of 210 hectares). </w:t>
      </w:r>
    </w:p>
    <w:p w14:paraId="3B7BEF6A" w14:textId="77777777" w:rsidR="00296CC1" w:rsidRDefault="00296CC1" w:rsidP="00296CC1">
      <w:pPr>
        <w:pStyle w:val="BulletOneJLL"/>
        <w:numPr>
          <w:ilvl w:val="0"/>
          <w:numId w:val="40"/>
        </w:numPr>
        <w:ind w:left="1276" w:hanging="567"/>
      </w:pPr>
      <w:r>
        <w:t>A further 67 hectares from WMI (situated within South Staffordshire) could meet unmet needs within the Black Country, providing a minimum of 103.6 hectares of surplus employment land within South Staffordshire.</w:t>
      </w:r>
    </w:p>
    <w:p w14:paraId="1C9C8FF3" w14:textId="77777777" w:rsidR="00296CC1" w:rsidRDefault="00296CC1" w:rsidP="00296CC1">
      <w:pPr>
        <w:pStyle w:val="BulletOneJLL"/>
        <w:numPr>
          <w:ilvl w:val="0"/>
          <w:numId w:val="40"/>
        </w:numPr>
        <w:ind w:left="1276" w:hanging="567"/>
      </w:pPr>
      <w:r>
        <w:t xml:space="preserve">The Council does not consider that there is further suitable land within South Staffordshire to reduce the shortfall further (paragraph 4.44). </w:t>
      </w:r>
    </w:p>
    <w:p w14:paraId="3D4B19F8" w14:textId="6EEB7A6E" w:rsidR="00296CC1" w:rsidRDefault="00296CC1" w:rsidP="00296CC1">
      <w:pPr>
        <w:pStyle w:val="BulletOneJLL"/>
        <w:numPr>
          <w:ilvl w:val="0"/>
          <w:numId w:val="40"/>
        </w:numPr>
        <w:ind w:left="1276" w:hanging="567"/>
      </w:pPr>
      <w:r>
        <w:t>The Council now expects that the Black Country authorities, either collectively or individually, must continue to approach the other several local planning authorities identified as having “strong” (Birmingham – aside from South Staffordshire) or “moderate” (Bromsgrove, Cannock Chase, Lichfield, Tamworth, Solihull and Wyre Forest) economic links with the Black Country to try to meet the remainder of its shortfall.</w:t>
      </w:r>
    </w:p>
    <w:p w14:paraId="377AC9D5" w14:textId="7C10F6C8" w:rsidR="00311663" w:rsidRPr="00365357" w:rsidRDefault="00311663" w:rsidP="00544E26">
      <w:pPr>
        <w:pStyle w:val="ListParagraph"/>
        <w:numPr>
          <w:ilvl w:val="0"/>
          <w:numId w:val="39"/>
        </w:numPr>
        <w:spacing w:before="240"/>
        <w:ind w:hanging="720"/>
        <w:contextualSpacing w:val="0"/>
        <w:jc w:val="both"/>
        <w:rPr>
          <w:rFonts w:ascii="Source Sans Pro" w:hAnsi="Source Sans Pro"/>
          <w:sz w:val="22"/>
        </w:rPr>
      </w:pPr>
      <w:r w:rsidRPr="00365357">
        <w:rPr>
          <w:rFonts w:ascii="Source Sans Pro" w:hAnsi="Source Sans Pro"/>
          <w:sz w:val="22"/>
        </w:rPr>
        <w:t xml:space="preserve">The position with how the Black Country’s </w:t>
      </w:r>
      <w:r w:rsidR="007622F8">
        <w:rPr>
          <w:rFonts w:ascii="Source Sans Pro" w:hAnsi="Source Sans Pro"/>
          <w:sz w:val="22"/>
        </w:rPr>
        <w:t xml:space="preserve">own assessment of its </w:t>
      </w:r>
      <w:r w:rsidRPr="00365357">
        <w:rPr>
          <w:rFonts w:ascii="Source Sans Pro" w:hAnsi="Source Sans Pro"/>
          <w:sz w:val="22"/>
        </w:rPr>
        <w:t>unmet needs are to be met is</w:t>
      </w:r>
      <w:r w:rsidR="00244318">
        <w:rPr>
          <w:rFonts w:ascii="Source Sans Pro" w:hAnsi="Source Sans Pro"/>
          <w:sz w:val="22"/>
        </w:rPr>
        <w:t xml:space="preserve"> neither</w:t>
      </w:r>
      <w:r w:rsidRPr="00365357">
        <w:rPr>
          <w:rFonts w:ascii="Source Sans Pro" w:hAnsi="Source Sans Pro"/>
          <w:sz w:val="22"/>
        </w:rPr>
        <w:t xml:space="preserve"> clear</w:t>
      </w:r>
      <w:r w:rsidR="00244318">
        <w:rPr>
          <w:rFonts w:ascii="Source Sans Pro" w:hAnsi="Source Sans Pro"/>
          <w:sz w:val="22"/>
        </w:rPr>
        <w:t xml:space="preserve"> nor certain</w:t>
      </w:r>
      <w:r w:rsidRPr="00365357">
        <w:rPr>
          <w:rFonts w:ascii="Source Sans Pro" w:hAnsi="Source Sans Pro"/>
          <w:sz w:val="22"/>
        </w:rPr>
        <w:t xml:space="preserve">.  Table 2 below provides a summary of </w:t>
      </w:r>
      <w:r w:rsidR="00244318">
        <w:rPr>
          <w:rFonts w:ascii="Source Sans Pro" w:hAnsi="Source Sans Pro"/>
          <w:sz w:val="22"/>
        </w:rPr>
        <w:t>potential contributions from other relevant local planning authorities.</w:t>
      </w:r>
    </w:p>
    <w:p w14:paraId="11A1B68D" w14:textId="77777777" w:rsidR="00365357" w:rsidRDefault="00365357" w:rsidP="00311663">
      <w:pPr>
        <w:pStyle w:val="BodyTextJLL"/>
        <w:ind w:left="709"/>
        <w:rPr>
          <w:i/>
          <w:iCs/>
        </w:rPr>
      </w:pPr>
    </w:p>
    <w:p w14:paraId="7C9DC8DE" w14:textId="6C9B01D2" w:rsidR="00311663" w:rsidRDefault="00311663" w:rsidP="00311663">
      <w:pPr>
        <w:pStyle w:val="BodyTextJLL"/>
        <w:ind w:left="709"/>
        <w:rPr>
          <w:i/>
          <w:iCs/>
        </w:rPr>
      </w:pPr>
      <w:r>
        <w:rPr>
          <w:i/>
          <w:iCs/>
        </w:rPr>
        <w:t>Table 2 – Potential contributions from other Local Planning Authorities to meet the Black Country shortfall</w:t>
      </w:r>
    </w:p>
    <w:tbl>
      <w:tblPr>
        <w:tblStyle w:val="TableGrid"/>
        <w:tblW w:w="0" w:type="auto"/>
        <w:tblInd w:w="709" w:type="dxa"/>
        <w:tblLayout w:type="fixed"/>
        <w:tblLook w:val="04A0" w:firstRow="1" w:lastRow="0" w:firstColumn="1" w:lastColumn="0" w:noHBand="0" w:noVBand="1"/>
      </w:tblPr>
      <w:tblGrid>
        <w:gridCol w:w="1838"/>
        <w:gridCol w:w="1279"/>
        <w:gridCol w:w="1558"/>
        <w:gridCol w:w="1559"/>
        <w:gridCol w:w="1416"/>
        <w:gridCol w:w="1701"/>
      </w:tblGrid>
      <w:tr w:rsidR="00311663" w14:paraId="112EE363" w14:textId="77777777" w:rsidTr="009426BD">
        <w:tc>
          <w:tcPr>
            <w:tcW w:w="1838" w:type="dxa"/>
            <w:shd w:val="clear" w:color="auto" w:fill="D9D9D9" w:themeFill="background1" w:themeFillShade="D9"/>
          </w:tcPr>
          <w:p w14:paraId="4C2FDA58" w14:textId="77777777" w:rsidR="00311663" w:rsidRPr="001761EE" w:rsidRDefault="00311663" w:rsidP="009426BD">
            <w:pPr>
              <w:pStyle w:val="BodyTextJLL"/>
              <w:rPr>
                <w:b/>
                <w:bCs/>
                <w:sz w:val="18"/>
                <w:szCs w:val="18"/>
              </w:rPr>
            </w:pPr>
            <w:r>
              <w:rPr>
                <w:b/>
                <w:bCs/>
                <w:sz w:val="18"/>
                <w:szCs w:val="18"/>
              </w:rPr>
              <w:t>Area</w:t>
            </w:r>
          </w:p>
        </w:tc>
        <w:tc>
          <w:tcPr>
            <w:tcW w:w="1279" w:type="dxa"/>
            <w:shd w:val="clear" w:color="auto" w:fill="D9D9D9" w:themeFill="background1" w:themeFillShade="D9"/>
          </w:tcPr>
          <w:p w14:paraId="62D838CF" w14:textId="77777777" w:rsidR="00311663" w:rsidRPr="001761EE" w:rsidRDefault="00311663" w:rsidP="009426BD">
            <w:pPr>
              <w:pStyle w:val="BodyTextJLL"/>
              <w:jc w:val="center"/>
              <w:rPr>
                <w:b/>
                <w:bCs/>
                <w:sz w:val="18"/>
                <w:szCs w:val="18"/>
              </w:rPr>
            </w:pPr>
            <w:r>
              <w:rPr>
                <w:b/>
                <w:bCs/>
                <w:sz w:val="18"/>
                <w:szCs w:val="18"/>
              </w:rPr>
              <w:t>Need (hectares)</w:t>
            </w:r>
          </w:p>
        </w:tc>
        <w:tc>
          <w:tcPr>
            <w:tcW w:w="1558" w:type="dxa"/>
            <w:shd w:val="clear" w:color="auto" w:fill="D9D9D9" w:themeFill="background1" w:themeFillShade="D9"/>
          </w:tcPr>
          <w:p w14:paraId="1C084B0C" w14:textId="77777777" w:rsidR="00311663" w:rsidRPr="001761EE" w:rsidRDefault="00311663" w:rsidP="009426BD">
            <w:pPr>
              <w:pStyle w:val="BodyTextJLL"/>
              <w:jc w:val="center"/>
              <w:rPr>
                <w:b/>
                <w:bCs/>
                <w:sz w:val="18"/>
                <w:szCs w:val="18"/>
              </w:rPr>
            </w:pPr>
            <w:r>
              <w:rPr>
                <w:b/>
                <w:bCs/>
                <w:sz w:val="18"/>
                <w:szCs w:val="18"/>
              </w:rPr>
              <w:t xml:space="preserve">Local </w:t>
            </w:r>
            <w:r w:rsidRPr="001761EE">
              <w:rPr>
                <w:b/>
                <w:bCs/>
                <w:sz w:val="18"/>
                <w:szCs w:val="18"/>
              </w:rPr>
              <w:t>Supply (hectares)</w:t>
            </w:r>
          </w:p>
        </w:tc>
        <w:tc>
          <w:tcPr>
            <w:tcW w:w="1559" w:type="dxa"/>
            <w:shd w:val="clear" w:color="auto" w:fill="D9D9D9" w:themeFill="background1" w:themeFillShade="D9"/>
          </w:tcPr>
          <w:p w14:paraId="0533C9C7" w14:textId="77777777" w:rsidR="00311663" w:rsidRPr="001761EE" w:rsidRDefault="00311663" w:rsidP="009426BD">
            <w:pPr>
              <w:pStyle w:val="BodyTextJLL"/>
              <w:jc w:val="center"/>
              <w:rPr>
                <w:b/>
                <w:bCs/>
                <w:sz w:val="18"/>
                <w:szCs w:val="18"/>
              </w:rPr>
            </w:pPr>
            <w:r>
              <w:rPr>
                <w:b/>
                <w:bCs/>
                <w:sz w:val="18"/>
                <w:szCs w:val="18"/>
              </w:rPr>
              <w:t xml:space="preserve">WMI Contribution </w:t>
            </w:r>
            <w:r w:rsidRPr="001761EE">
              <w:rPr>
                <w:b/>
                <w:bCs/>
                <w:sz w:val="18"/>
                <w:szCs w:val="18"/>
              </w:rPr>
              <w:t>(hectares)</w:t>
            </w:r>
          </w:p>
        </w:tc>
        <w:tc>
          <w:tcPr>
            <w:tcW w:w="1416" w:type="dxa"/>
            <w:shd w:val="clear" w:color="auto" w:fill="D9D9D9" w:themeFill="background1" w:themeFillShade="D9"/>
          </w:tcPr>
          <w:p w14:paraId="2ED09689" w14:textId="2C6947A9" w:rsidR="00311663" w:rsidRPr="001761EE" w:rsidRDefault="00311663" w:rsidP="009426BD">
            <w:pPr>
              <w:pStyle w:val="BodyTextJLL"/>
              <w:jc w:val="center"/>
              <w:rPr>
                <w:b/>
                <w:bCs/>
                <w:sz w:val="18"/>
                <w:szCs w:val="18"/>
              </w:rPr>
            </w:pPr>
            <w:r>
              <w:rPr>
                <w:b/>
                <w:bCs/>
                <w:sz w:val="18"/>
                <w:szCs w:val="18"/>
              </w:rPr>
              <w:t>Total Supply</w:t>
            </w:r>
            <w:r w:rsidRPr="001761EE">
              <w:rPr>
                <w:b/>
                <w:bCs/>
                <w:sz w:val="18"/>
                <w:szCs w:val="18"/>
              </w:rPr>
              <w:t xml:space="preserve"> (hectares)</w:t>
            </w:r>
          </w:p>
        </w:tc>
        <w:tc>
          <w:tcPr>
            <w:tcW w:w="1701" w:type="dxa"/>
            <w:shd w:val="clear" w:color="auto" w:fill="D9D9D9" w:themeFill="background1" w:themeFillShade="D9"/>
          </w:tcPr>
          <w:p w14:paraId="132BC4F0" w14:textId="77777777" w:rsidR="00311663" w:rsidRPr="001761EE" w:rsidRDefault="00311663" w:rsidP="009426BD">
            <w:pPr>
              <w:pStyle w:val="BodyTextJLL"/>
              <w:jc w:val="center"/>
              <w:rPr>
                <w:b/>
                <w:bCs/>
                <w:sz w:val="18"/>
                <w:szCs w:val="18"/>
              </w:rPr>
            </w:pPr>
            <w:r>
              <w:rPr>
                <w:b/>
                <w:bCs/>
                <w:sz w:val="18"/>
                <w:szCs w:val="18"/>
              </w:rPr>
              <w:t>Surplus/</w:t>
            </w:r>
            <w:r w:rsidRPr="00A214EB">
              <w:rPr>
                <w:b/>
                <w:bCs/>
                <w:color w:val="FF0000"/>
                <w:sz w:val="18"/>
                <w:szCs w:val="18"/>
              </w:rPr>
              <w:t>S</w:t>
            </w:r>
            <w:r>
              <w:rPr>
                <w:b/>
                <w:bCs/>
                <w:color w:val="FF0000"/>
                <w:sz w:val="18"/>
                <w:szCs w:val="18"/>
              </w:rPr>
              <w:t>h</w:t>
            </w:r>
            <w:r w:rsidRPr="00A214EB">
              <w:rPr>
                <w:b/>
                <w:bCs/>
                <w:color w:val="FF0000"/>
                <w:sz w:val="18"/>
                <w:szCs w:val="18"/>
              </w:rPr>
              <w:t xml:space="preserve">ortfall </w:t>
            </w:r>
            <w:r w:rsidRPr="001761EE">
              <w:rPr>
                <w:b/>
                <w:bCs/>
                <w:sz w:val="18"/>
                <w:szCs w:val="18"/>
              </w:rPr>
              <w:t>(hectares)</w:t>
            </w:r>
          </w:p>
        </w:tc>
      </w:tr>
      <w:tr w:rsidR="00311663" w14:paraId="415A7582" w14:textId="77777777" w:rsidTr="009426BD">
        <w:tc>
          <w:tcPr>
            <w:tcW w:w="1838" w:type="dxa"/>
          </w:tcPr>
          <w:p w14:paraId="4ED60948" w14:textId="77777777" w:rsidR="00311663" w:rsidRPr="001761EE" w:rsidRDefault="00311663" w:rsidP="009426BD">
            <w:pPr>
              <w:pStyle w:val="BodyTextJLL"/>
              <w:rPr>
                <w:sz w:val="18"/>
                <w:szCs w:val="18"/>
              </w:rPr>
            </w:pPr>
            <w:r>
              <w:rPr>
                <w:sz w:val="18"/>
                <w:szCs w:val="18"/>
              </w:rPr>
              <w:t>Black Country</w:t>
            </w:r>
          </w:p>
        </w:tc>
        <w:tc>
          <w:tcPr>
            <w:tcW w:w="1279" w:type="dxa"/>
          </w:tcPr>
          <w:p w14:paraId="042EF177" w14:textId="77777777" w:rsidR="00311663" w:rsidRPr="001761EE" w:rsidRDefault="00311663" w:rsidP="009426BD">
            <w:pPr>
              <w:pStyle w:val="BodyTextJLL"/>
              <w:jc w:val="center"/>
              <w:rPr>
                <w:sz w:val="18"/>
                <w:szCs w:val="18"/>
              </w:rPr>
            </w:pPr>
            <w:r>
              <w:rPr>
                <w:sz w:val="18"/>
                <w:szCs w:val="18"/>
              </w:rPr>
              <w:t>565</w:t>
            </w:r>
          </w:p>
        </w:tc>
        <w:tc>
          <w:tcPr>
            <w:tcW w:w="1558" w:type="dxa"/>
          </w:tcPr>
          <w:p w14:paraId="17F221B3" w14:textId="77777777" w:rsidR="00311663" w:rsidRPr="001761EE" w:rsidRDefault="00311663" w:rsidP="009426BD">
            <w:pPr>
              <w:pStyle w:val="BodyTextJLL"/>
              <w:jc w:val="center"/>
              <w:rPr>
                <w:sz w:val="18"/>
                <w:szCs w:val="18"/>
              </w:rPr>
            </w:pPr>
            <w:r>
              <w:rPr>
                <w:sz w:val="18"/>
                <w:szCs w:val="18"/>
              </w:rPr>
              <w:t>355</w:t>
            </w:r>
          </w:p>
        </w:tc>
        <w:tc>
          <w:tcPr>
            <w:tcW w:w="1559" w:type="dxa"/>
          </w:tcPr>
          <w:p w14:paraId="3F037DBC" w14:textId="77777777" w:rsidR="00311663" w:rsidRPr="001761EE" w:rsidRDefault="00311663" w:rsidP="009426BD">
            <w:pPr>
              <w:pStyle w:val="BodyTextJLL"/>
              <w:jc w:val="center"/>
              <w:rPr>
                <w:sz w:val="18"/>
                <w:szCs w:val="18"/>
              </w:rPr>
            </w:pPr>
            <w:r>
              <w:rPr>
                <w:sz w:val="18"/>
                <w:szCs w:val="18"/>
              </w:rPr>
              <w:t>67</w:t>
            </w:r>
          </w:p>
        </w:tc>
        <w:tc>
          <w:tcPr>
            <w:tcW w:w="1416" w:type="dxa"/>
          </w:tcPr>
          <w:p w14:paraId="03FB677F" w14:textId="77777777" w:rsidR="00311663" w:rsidRPr="001761EE" w:rsidRDefault="00311663" w:rsidP="009426BD">
            <w:pPr>
              <w:pStyle w:val="BodyTextJLL"/>
              <w:jc w:val="center"/>
              <w:rPr>
                <w:sz w:val="18"/>
                <w:szCs w:val="18"/>
              </w:rPr>
            </w:pPr>
            <w:r>
              <w:rPr>
                <w:sz w:val="18"/>
                <w:szCs w:val="18"/>
              </w:rPr>
              <w:t>422</w:t>
            </w:r>
          </w:p>
        </w:tc>
        <w:tc>
          <w:tcPr>
            <w:tcW w:w="1701" w:type="dxa"/>
          </w:tcPr>
          <w:p w14:paraId="5EBE3094" w14:textId="77777777" w:rsidR="00311663" w:rsidRPr="001761EE" w:rsidRDefault="00311663" w:rsidP="009426BD">
            <w:pPr>
              <w:pStyle w:val="BodyTextJLL"/>
              <w:jc w:val="center"/>
              <w:rPr>
                <w:sz w:val="18"/>
                <w:szCs w:val="18"/>
              </w:rPr>
            </w:pPr>
            <w:r w:rsidRPr="00EA4472">
              <w:rPr>
                <w:color w:val="FF0000"/>
                <w:sz w:val="18"/>
                <w:szCs w:val="18"/>
              </w:rPr>
              <w:t>143</w:t>
            </w:r>
          </w:p>
        </w:tc>
      </w:tr>
      <w:tr w:rsidR="00311663" w14:paraId="0C13A805" w14:textId="77777777" w:rsidTr="009426BD">
        <w:tc>
          <w:tcPr>
            <w:tcW w:w="1838" w:type="dxa"/>
          </w:tcPr>
          <w:p w14:paraId="465ACA9A" w14:textId="77777777" w:rsidR="00311663" w:rsidRDefault="00311663" w:rsidP="009426BD">
            <w:pPr>
              <w:pStyle w:val="BodyTextJLL"/>
              <w:rPr>
                <w:sz w:val="18"/>
                <w:szCs w:val="18"/>
              </w:rPr>
            </w:pPr>
            <w:r>
              <w:rPr>
                <w:sz w:val="18"/>
                <w:szCs w:val="18"/>
              </w:rPr>
              <w:t>South Staffordshire</w:t>
            </w:r>
          </w:p>
        </w:tc>
        <w:tc>
          <w:tcPr>
            <w:tcW w:w="1279" w:type="dxa"/>
          </w:tcPr>
          <w:p w14:paraId="241B4FA3" w14:textId="77777777" w:rsidR="00311663" w:rsidRDefault="00311663" w:rsidP="009426BD">
            <w:pPr>
              <w:pStyle w:val="BodyTextJLL"/>
              <w:jc w:val="center"/>
              <w:rPr>
                <w:sz w:val="18"/>
                <w:szCs w:val="18"/>
              </w:rPr>
            </w:pPr>
            <w:r>
              <w:rPr>
                <w:sz w:val="18"/>
                <w:szCs w:val="18"/>
              </w:rPr>
              <w:t>63</w:t>
            </w:r>
          </w:p>
        </w:tc>
        <w:tc>
          <w:tcPr>
            <w:tcW w:w="1558" w:type="dxa"/>
          </w:tcPr>
          <w:p w14:paraId="46CAE3F3" w14:textId="77777777" w:rsidR="00311663" w:rsidRDefault="00311663" w:rsidP="009426BD">
            <w:pPr>
              <w:pStyle w:val="BodyTextJLL"/>
              <w:jc w:val="center"/>
              <w:rPr>
                <w:sz w:val="18"/>
                <w:szCs w:val="18"/>
              </w:rPr>
            </w:pPr>
            <w:r>
              <w:rPr>
                <w:sz w:val="18"/>
                <w:szCs w:val="18"/>
              </w:rPr>
              <w:t>100</w:t>
            </w:r>
          </w:p>
        </w:tc>
        <w:tc>
          <w:tcPr>
            <w:tcW w:w="1559" w:type="dxa"/>
          </w:tcPr>
          <w:p w14:paraId="7097C2E8" w14:textId="77777777" w:rsidR="00311663" w:rsidRDefault="00311663" w:rsidP="009426BD">
            <w:pPr>
              <w:pStyle w:val="BodyTextJLL"/>
              <w:jc w:val="center"/>
              <w:rPr>
                <w:sz w:val="18"/>
                <w:szCs w:val="18"/>
              </w:rPr>
            </w:pPr>
            <w:r>
              <w:rPr>
                <w:sz w:val="18"/>
                <w:szCs w:val="18"/>
              </w:rPr>
              <w:t>5/19</w:t>
            </w:r>
          </w:p>
        </w:tc>
        <w:tc>
          <w:tcPr>
            <w:tcW w:w="1416" w:type="dxa"/>
          </w:tcPr>
          <w:p w14:paraId="091D3220" w14:textId="77777777" w:rsidR="00311663" w:rsidRDefault="00311663" w:rsidP="009426BD">
            <w:pPr>
              <w:pStyle w:val="BodyTextJLL"/>
              <w:jc w:val="center"/>
              <w:rPr>
                <w:sz w:val="18"/>
                <w:szCs w:val="18"/>
              </w:rPr>
            </w:pPr>
            <w:r>
              <w:rPr>
                <w:sz w:val="18"/>
                <w:szCs w:val="18"/>
              </w:rPr>
              <w:t>105/119</w:t>
            </w:r>
          </w:p>
        </w:tc>
        <w:tc>
          <w:tcPr>
            <w:tcW w:w="1701" w:type="dxa"/>
          </w:tcPr>
          <w:p w14:paraId="4018A235" w14:textId="77777777" w:rsidR="00311663" w:rsidRDefault="00311663" w:rsidP="009426BD">
            <w:pPr>
              <w:pStyle w:val="BodyTextJLL"/>
              <w:jc w:val="center"/>
              <w:rPr>
                <w:sz w:val="18"/>
                <w:szCs w:val="18"/>
              </w:rPr>
            </w:pPr>
            <w:r>
              <w:rPr>
                <w:sz w:val="18"/>
                <w:szCs w:val="18"/>
              </w:rPr>
              <w:t>42/56</w:t>
            </w:r>
          </w:p>
        </w:tc>
      </w:tr>
      <w:tr w:rsidR="00311663" w14:paraId="3AE27860" w14:textId="77777777" w:rsidTr="009426BD">
        <w:tc>
          <w:tcPr>
            <w:tcW w:w="1838" w:type="dxa"/>
          </w:tcPr>
          <w:p w14:paraId="69217658" w14:textId="77777777" w:rsidR="00311663" w:rsidRDefault="00311663" w:rsidP="009426BD">
            <w:pPr>
              <w:pStyle w:val="BodyTextJLL"/>
              <w:rPr>
                <w:sz w:val="18"/>
                <w:szCs w:val="18"/>
              </w:rPr>
            </w:pPr>
            <w:r>
              <w:rPr>
                <w:sz w:val="18"/>
                <w:szCs w:val="18"/>
              </w:rPr>
              <w:t>Birmingham</w:t>
            </w:r>
          </w:p>
        </w:tc>
        <w:tc>
          <w:tcPr>
            <w:tcW w:w="1279" w:type="dxa"/>
          </w:tcPr>
          <w:p w14:paraId="43C60674" w14:textId="77777777" w:rsidR="00311663" w:rsidRDefault="00311663" w:rsidP="009426BD">
            <w:pPr>
              <w:pStyle w:val="BodyTextJLL"/>
              <w:jc w:val="center"/>
              <w:rPr>
                <w:sz w:val="18"/>
                <w:szCs w:val="18"/>
              </w:rPr>
            </w:pPr>
            <w:r>
              <w:rPr>
                <w:sz w:val="18"/>
                <w:szCs w:val="18"/>
              </w:rPr>
              <w:t>296</w:t>
            </w:r>
          </w:p>
        </w:tc>
        <w:tc>
          <w:tcPr>
            <w:tcW w:w="1558" w:type="dxa"/>
          </w:tcPr>
          <w:p w14:paraId="1EF26CFB" w14:textId="77777777" w:rsidR="00311663" w:rsidRDefault="00311663" w:rsidP="009426BD">
            <w:pPr>
              <w:pStyle w:val="BodyTextJLL"/>
              <w:jc w:val="center"/>
              <w:rPr>
                <w:sz w:val="18"/>
                <w:szCs w:val="18"/>
              </w:rPr>
            </w:pPr>
            <w:r>
              <w:rPr>
                <w:sz w:val="18"/>
                <w:szCs w:val="18"/>
              </w:rPr>
              <w:t>222</w:t>
            </w:r>
          </w:p>
        </w:tc>
        <w:tc>
          <w:tcPr>
            <w:tcW w:w="1559" w:type="dxa"/>
          </w:tcPr>
          <w:p w14:paraId="554B8EAE" w14:textId="77777777" w:rsidR="00311663" w:rsidRDefault="00311663" w:rsidP="009426BD">
            <w:pPr>
              <w:pStyle w:val="BodyTextJLL"/>
              <w:jc w:val="center"/>
              <w:rPr>
                <w:sz w:val="18"/>
                <w:szCs w:val="18"/>
              </w:rPr>
            </w:pPr>
            <w:r>
              <w:rPr>
                <w:sz w:val="18"/>
                <w:szCs w:val="18"/>
              </w:rPr>
              <w:t>53</w:t>
            </w:r>
          </w:p>
        </w:tc>
        <w:tc>
          <w:tcPr>
            <w:tcW w:w="1416" w:type="dxa"/>
          </w:tcPr>
          <w:p w14:paraId="4EAD9D93" w14:textId="77777777" w:rsidR="00311663" w:rsidRPr="001761EE" w:rsidRDefault="00311663" w:rsidP="009426BD">
            <w:pPr>
              <w:pStyle w:val="BodyTextJLL"/>
              <w:jc w:val="center"/>
              <w:rPr>
                <w:color w:val="FF0000"/>
                <w:sz w:val="18"/>
                <w:szCs w:val="18"/>
              </w:rPr>
            </w:pPr>
            <w:r w:rsidRPr="00EA4472">
              <w:rPr>
                <w:sz w:val="18"/>
                <w:szCs w:val="18"/>
              </w:rPr>
              <w:t>275</w:t>
            </w:r>
          </w:p>
        </w:tc>
        <w:tc>
          <w:tcPr>
            <w:tcW w:w="1701" w:type="dxa"/>
          </w:tcPr>
          <w:p w14:paraId="7582ED9C" w14:textId="77777777" w:rsidR="00311663" w:rsidRDefault="00311663" w:rsidP="009426BD">
            <w:pPr>
              <w:pStyle w:val="BodyTextJLL"/>
              <w:jc w:val="center"/>
              <w:rPr>
                <w:sz w:val="18"/>
                <w:szCs w:val="18"/>
              </w:rPr>
            </w:pPr>
            <w:r w:rsidRPr="00EA4472">
              <w:rPr>
                <w:color w:val="FF0000"/>
                <w:sz w:val="18"/>
                <w:szCs w:val="18"/>
              </w:rPr>
              <w:t>21</w:t>
            </w:r>
          </w:p>
        </w:tc>
      </w:tr>
      <w:tr w:rsidR="00311663" w14:paraId="0347DAAE" w14:textId="77777777" w:rsidTr="009426BD">
        <w:tc>
          <w:tcPr>
            <w:tcW w:w="1838" w:type="dxa"/>
          </w:tcPr>
          <w:p w14:paraId="1D30DAB6" w14:textId="77777777" w:rsidR="00311663" w:rsidRDefault="00311663" w:rsidP="009426BD">
            <w:pPr>
              <w:pStyle w:val="BodyTextJLL"/>
              <w:rPr>
                <w:sz w:val="18"/>
                <w:szCs w:val="18"/>
              </w:rPr>
            </w:pPr>
            <w:r>
              <w:rPr>
                <w:sz w:val="18"/>
                <w:szCs w:val="18"/>
              </w:rPr>
              <w:t>Cannock Chase</w:t>
            </w:r>
          </w:p>
        </w:tc>
        <w:tc>
          <w:tcPr>
            <w:tcW w:w="1279" w:type="dxa"/>
          </w:tcPr>
          <w:p w14:paraId="764337CE" w14:textId="77777777" w:rsidR="00311663" w:rsidRDefault="00311663" w:rsidP="009426BD">
            <w:pPr>
              <w:pStyle w:val="BodyTextJLL"/>
              <w:jc w:val="center"/>
              <w:rPr>
                <w:sz w:val="18"/>
                <w:szCs w:val="18"/>
              </w:rPr>
            </w:pPr>
            <w:r>
              <w:rPr>
                <w:sz w:val="18"/>
                <w:szCs w:val="18"/>
              </w:rPr>
              <w:t>66</w:t>
            </w:r>
          </w:p>
        </w:tc>
        <w:tc>
          <w:tcPr>
            <w:tcW w:w="1558" w:type="dxa"/>
          </w:tcPr>
          <w:p w14:paraId="0BC0C2D0" w14:textId="77777777" w:rsidR="00311663" w:rsidRDefault="00311663" w:rsidP="009426BD">
            <w:pPr>
              <w:pStyle w:val="BodyTextJLL"/>
              <w:jc w:val="center"/>
              <w:rPr>
                <w:sz w:val="18"/>
                <w:szCs w:val="18"/>
              </w:rPr>
            </w:pPr>
            <w:r>
              <w:rPr>
                <w:sz w:val="18"/>
                <w:szCs w:val="18"/>
              </w:rPr>
              <w:t>55</w:t>
            </w:r>
          </w:p>
        </w:tc>
        <w:tc>
          <w:tcPr>
            <w:tcW w:w="1559" w:type="dxa"/>
          </w:tcPr>
          <w:p w14:paraId="7CFE6B78" w14:textId="77777777" w:rsidR="00311663" w:rsidRDefault="00311663" w:rsidP="009426BD">
            <w:pPr>
              <w:pStyle w:val="BodyTextJLL"/>
              <w:jc w:val="center"/>
              <w:rPr>
                <w:sz w:val="18"/>
                <w:szCs w:val="18"/>
              </w:rPr>
            </w:pPr>
            <w:r>
              <w:rPr>
                <w:sz w:val="18"/>
                <w:szCs w:val="18"/>
              </w:rPr>
              <w:t>10</w:t>
            </w:r>
          </w:p>
        </w:tc>
        <w:tc>
          <w:tcPr>
            <w:tcW w:w="1416" w:type="dxa"/>
          </w:tcPr>
          <w:p w14:paraId="476DC67E" w14:textId="77777777" w:rsidR="00311663" w:rsidRDefault="00311663" w:rsidP="009426BD">
            <w:pPr>
              <w:pStyle w:val="BodyTextJLL"/>
              <w:jc w:val="center"/>
              <w:rPr>
                <w:color w:val="FF0000"/>
                <w:sz w:val="18"/>
                <w:szCs w:val="18"/>
              </w:rPr>
            </w:pPr>
            <w:r w:rsidRPr="00EA4472">
              <w:rPr>
                <w:sz w:val="18"/>
                <w:szCs w:val="18"/>
              </w:rPr>
              <w:t>65</w:t>
            </w:r>
          </w:p>
        </w:tc>
        <w:tc>
          <w:tcPr>
            <w:tcW w:w="1701" w:type="dxa"/>
          </w:tcPr>
          <w:p w14:paraId="596498D4" w14:textId="77777777" w:rsidR="00311663" w:rsidRDefault="00311663" w:rsidP="009426BD">
            <w:pPr>
              <w:pStyle w:val="BodyTextJLL"/>
              <w:jc w:val="center"/>
              <w:rPr>
                <w:sz w:val="18"/>
                <w:szCs w:val="18"/>
              </w:rPr>
            </w:pPr>
            <w:r>
              <w:rPr>
                <w:color w:val="FF0000"/>
                <w:sz w:val="18"/>
                <w:szCs w:val="18"/>
              </w:rPr>
              <w:t>1</w:t>
            </w:r>
          </w:p>
        </w:tc>
      </w:tr>
      <w:tr w:rsidR="00311663" w14:paraId="3B91434E" w14:textId="77777777" w:rsidTr="009426BD">
        <w:tc>
          <w:tcPr>
            <w:tcW w:w="1838" w:type="dxa"/>
          </w:tcPr>
          <w:p w14:paraId="769CFAA2" w14:textId="77777777" w:rsidR="00311663" w:rsidRDefault="00311663" w:rsidP="009426BD">
            <w:pPr>
              <w:pStyle w:val="BodyTextJLL"/>
              <w:rPr>
                <w:sz w:val="18"/>
                <w:szCs w:val="18"/>
              </w:rPr>
            </w:pPr>
            <w:r>
              <w:rPr>
                <w:sz w:val="18"/>
                <w:szCs w:val="18"/>
              </w:rPr>
              <w:t>Lichfield</w:t>
            </w:r>
          </w:p>
        </w:tc>
        <w:tc>
          <w:tcPr>
            <w:tcW w:w="1279" w:type="dxa"/>
          </w:tcPr>
          <w:p w14:paraId="7F48063F" w14:textId="77777777" w:rsidR="00311663" w:rsidRDefault="00311663" w:rsidP="009426BD">
            <w:pPr>
              <w:pStyle w:val="BodyTextJLL"/>
              <w:jc w:val="center"/>
              <w:rPr>
                <w:sz w:val="18"/>
                <w:szCs w:val="18"/>
              </w:rPr>
            </w:pPr>
            <w:r>
              <w:rPr>
                <w:sz w:val="18"/>
                <w:szCs w:val="18"/>
              </w:rPr>
              <w:t>85</w:t>
            </w:r>
          </w:p>
        </w:tc>
        <w:tc>
          <w:tcPr>
            <w:tcW w:w="1558" w:type="dxa"/>
          </w:tcPr>
          <w:p w14:paraId="0924974D" w14:textId="77777777" w:rsidR="00311663" w:rsidRDefault="00311663" w:rsidP="009426BD">
            <w:pPr>
              <w:pStyle w:val="BodyTextJLL"/>
              <w:jc w:val="center"/>
              <w:rPr>
                <w:sz w:val="18"/>
                <w:szCs w:val="18"/>
              </w:rPr>
            </w:pPr>
            <w:r>
              <w:rPr>
                <w:sz w:val="18"/>
                <w:szCs w:val="18"/>
              </w:rPr>
              <w:t>119</w:t>
            </w:r>
          </w:p>
        </w:tc>
        <w:tc>
          <w:tcPr>
            <w:tcW w:w="1559" w:type="dxa"/>
          </w:tcPr>
          <w:p w14:paraId="5BCD148D" w14:textId="77777777" w:rsidR="00311663" w:rsidRDefault="00311663" w:rsidP="009426BD">
            <w:pPr>
              <w:pStyle w:val="BodyTextJLL"/>
              <w:jc w:val="center"/>
              <w:rPr>
                <w:sz w:val="18"/>
                <w:szCs w:val="18"/>
              </w:rPr>
            </w:pPr>
            <w:r>
              <w:rPr>
                <w:sz w:val="18"/>
                <w:szCs w:val="18"/>
              </w:rPr>
              <w:t>8</w:t>
            </w:r>
          </w:p>
        </w:tc>
        <w:tc>
          <w:tcPr>
            <w:tcW w:w="1416" w:type="dxa"/>
          </w:tcPr>
          <w:p w14:paraId="659A4C2C" w14:textId="77777777" w:rsidR="00311663" w:rsidRPr="00EA4472" w:rsidRDefault="00311663" w:rsidP="009426BD">
            <w:pPr>
              <w:pStyle w:val="BodyTextJLL"/>
              <w:jc w:val="center"/>
              <w:rPr>
                <w:sz w:val="18"/>
                <w:szCs w:val="18"/>
              </w:rPr>
            </w:pPr>
            <w:r>
              <w:rPr>
                <w:sz w:val="18"/>
                <w:szCs w:val="18"/>
              </w:rPr>
              <w:t>127</w:t>
            </w:r>
          </w:p>
        </w:tc>
        <w:tc>
          <w:tcPr>
            <w:tcW w:w="1701" w:type="dxa"/>
          </w:tcPr>
          <w:p w14:paraId="6B6923DA" w14:textId="77777777" w:rsidR="00311663" w:rsidRDefault="00311663" w:rsidP="009426BD">
            <w:pPr>
              <w:pStyle w:val="BodyTextJLL"/>
              <w:jc w:val="center"/>
              <w:rPr>
                <w:color w:val="FF0000"/>
                <w:sz w:val="18"/>
                <w:szCs w:val="18"/>
              </w:rPr>
            </w:pPr>
            <w:r w:rsidRPr="00EA4472">
              <w:rPr>
                <w:sz w:val="18"/>
                <w:szCs w:val="18"/>
              </w:rPr>
              <w:t>42</w:t>
            </w:r>
          </w:p>
        </w:tc>
      </w:tr>
      <w:tr w:rsidR="00311663" w14:paraId="74D166AF" w14:textId="77777777" w:rsidTr="009426BD">
        <w:tc>
          <w:tcPr>
            <w:tcW w:w="1838" w:type="dxa"/>
          </w:tcPr>
          <w:p w14:paraId="4ECFCA65" w14:textId="77777777" w:rsidR="00311663" w:rsidRDefault="00311663" w:rsidP="009426BD">
            <w:pPr>
              <w:pStyle w:val="BodyTextJLL"/>
              <w:rPr>
                <w:sz w:val="18"/>
                <w:szCs w:val="18"/>
              </w:rPr>
            </w:pPr>
            <w:r>
              <w:rPr>
                <w:sz w:val="18"/>
                <w:szCs w:val="18"/>
              </w:rPr>
              <w:t>Stafford</w:t>
            </w:r>
          </w:p>
        </w:tc>
        <w:tc>
          <w:tcPr>
            <w:tcW w:w="1279" w:type="dxa"/>
          </w:tcPr>
          <w:p w14:paraId="14947456" w14:textId="77777777" w:rsidR="00311663" w:rsidRDefault="00311663" w:rsidP="009426BD">
            <w:pPr>
              <w:pStyle w:val="BodyTextJLL"/>
              <w:jc w:val="center"/>
              <w:rPr>
                <w:sz w:val="18"/>
                <w:szCs w:val="18"/>
              </w:rPr>
            </w:pPr>
            <w:r>
              <w:rPr>
                <w:sz w:val="18"/>
                <w:szCs w:val="18"/>
              </w:rPr>
              <w:t>150</w:t>
            </w:r>
          </w:p>
        </w:tc>
        <w:tc>
          <w:tcPr>
            <w:tcW w:w="1558" w:type="dxa"/>
          </w:tcPr>
          <w:p w14:paraId="1E3FD372" w14:textId="77777777" w:rsidR="00311663" w:rsidRDefault="00311663" w:rsidP="009426BD">
            <w:pPr>
              <w:pStyle w:val="BodyTextJLL"/>
              <w:jc w:val="center"/>
              <w:rPr>
                <w:sz w:val="18"/>
                <w:szCs w:val="18"/>
              </w:rPr>
            </w:pPr>
            <w:r>
              <w:rPr>
                <w:sz w:val="18"/>
                <w:szCs w:val="18"/>
              </w:rPr>
              <w:t>150</w:t>
            </w:r>
          </w:p>
        </w:tc>
        <w:tc>
          <w:tcPr>
            <w:tcW w:w="1559" w:type="dxa"/>
          </w:tcPr>
          <w:p w14:paraId="119F8BD7" w14:textId="77777777" w:rsidR="00311663" w:rsidRDefault="00311663" w:rsidP="009426BD">
            <w:pPr>
              <w:pStyle w:val="BodyTextJLL"/>
              <w:jc w:val="center"/>
              <w:rPr>
                <w:sz w:val="18"/>
                <w:szCs w:val="18"/>
              </w:rPr>
            </w:pPr>
            <w:r>
              <w:rPr>
                <w:sz w:val="18"/>
                <w:szCs w:val="18"/>
              </w:rPr>
              <w:t>3</w:t>
            </w:r>
          </w:p>
        </w:tc>
        <w:tc>
          <w:tcPr>
            <w:tcW w:w="1416" w:type="dxa"/>
          </w:tcPr>
          <w:p w14:paraId="30C47F43" w14:textId="77777777" w:rsidR="00311663" w:rsidRDefault="00311663" w:rsidP="009426BD">
            <w:pPr>
              <w:pStyle w:val="BodyTextJLL"/>
              <w:jc w:val="center"/>
              <w:rPr>
                <w:sz w:val="18"/>
                <w:szCs w:val="18"/>
              </w:rPr>
            </w:pPr>
            <w:r>
              <w:rPr>
                <w:sz w:val="18"/>
                <w:szCs w:val="18"/>
              </w:rPr>
              <w:t>153</w:t>
            </w:r>
          </w:p>
        </w:tc>
        <w:tc>
          <w:tcPr>
            <w:tcW w:w="1701" w:type="dxa"/>
          </w:tcPr>
          <w:p w14:paraId="7D53041A" w14:textId="77777777" w:rsidR="00311663" w:rsidRPr="00EA4472" w:rsidRDefault="00311663" w:rsidP="009426BD">
            <w:pPr>
              <w:pStyle w:val="BodyTextJLL"/>
              <w:jc w:val="center"/>
              <w:rPr>
                <w:sz w:val="18"/>
                <w:szCs w:val="18"/>
              </w:rPr>
            </w:pPr>
            <w:r>
              <w:rPr>
                <w:sz w:val="18"/>
                <w:szCs w:val="18"/>
              </w:rPr>
              <w:t>3</w:t>
            </w:r>
          </w:p>
        </w:tc>
      </w:tr>
      <w:tr w:rsidR="00311663" w14:paraId="3AE94DB4" w14:textId="77777777" w:rsidTr="009426BD">
        <w:tc>
          <w:tcPr>
            <w:tcW w:w="1838" w:type="dxa"/>
          </w:tcPr>
          <w:p w14:paraId="205D308D" w14:textId="77777777" w:rsidR="00311663" w:rsidRDefault="00311663" w:rsidP="009426BD">
            <w:pPr>
              <w:pStyle w:val="BodyTextJLL"/>
              <w:rPr>
                <w:sz w:val="18"/>
                <w:szCs w:val="18"/>
              </w:rPr>
            </w:pPr>
            <w:r>
              <w:rPr>
                <w:sz w:val="18"/>
                <w:szCs w:val="18"/>
              </w:rPr>
              <w:t>Shropshire</w:t>
            </w:r>
          </w:p>
        </w:tc>
        <w:tc>
          <w:tcPr>
            <w:tcW w:w="1279" w:type="dxa"/>
          </w:tcPr>
          <w:p w14:paraId="321C5722" w14:textId="77777777" w:rsidR="00311663" w:rsidRDefault="00311663" w:rsidP="009426BD">
            <w:pPr>
              <w:pStyle w:val="BodyTextJLL"/>
              <w:jc w:val="center"/>
              <w:rPr>
                <w:sz w:val="18"/>
                <w:szCs w:val="18"/>
              </w:rPr>
            </w:pPr>
            <w:r>
              <w:rPr>
                <w:sz w:val="18"/>
                <w:szCs w:val="18"/>
              </w:rPr>
              <w:t>-</w:t>
            </w:r>
          </w:p>
        </w:tc>
        <w:tc>
          <w:tcPr>
            <w:tcW w:w="1558" w:type="dxa"/>
          </w:tcPr>
          <w:p w14:paraId="044778E4" w14:textId="77777777" w:rsidR="00311663" w:rsidRDefault="00311663" w:rsidP="009426BD">
            <w:pPr>
              <w:pStyle w:val="BodyTextJLL"/>
              <w:jc w:val="center"/>
              <w:rPr>
                <w:sz w:val="18"/>
                <w:szCs w:val="18"/>
              </w:rPr>
            </w:pPr>
            <w:r>
              <w:rPr>
                <w:sz w:val="18"/>
                <w:szCs w:val="18"/>
              </w:rPr>
              <w:t>-</w:t>
            </w:r>
          </w:p>
        </w:tc>
        <w:tc>
          <w:tcPr>
            <w:tcW w:w="1559" w:type="dxa"/>
          </w:tcPr>
          <w:p w14:paraId="44F56585" w14:textId="77777777" w:rsidR="00311663" w:rsidRDefault="00311663" w:rsidP="009426BD">
            <w:pPr>
              <w:pStyle w:val="BodyTextJLL"/>
              <w:jc w:val="center"/>
              <w:rPr>
                <w:sz w:val="18"/>
                <w:szCs w:val="18"/>
              </w:rPr>
            </w:pPr>
            <w:r>
              <w:rPr>
                <w:sz w:val="18"/>
                <w:szCs w:val="18"/>
              </w:rPr>
              <w:t>-</w:t>
            </w:r>
          </w:p>
        </w:tc>
        <w:tc>
          <w:tcPr>
            <w:tcW w:w="1416" w:type="dxa"/>
          </w:tcPr>
          <w:p w14:paraId="15447CFB" w14:textId="77777777" w:rsidR="00311663" w:rsidRDefault="00311663" w:rsidP="009426BD">
            <w:pPr>
              <w:pStyle w:val="BodyTextJLL"/>
              <w:jc w:val="center"/>
              <w:rPr>
                <w:sz w:val="18"/>
                <w:szCs w:val="18"/>
              </w:rPr>
            </w:pPr>
            <w:r>
              <w:rPr>
                <w:sz w:val="18"/>
                <w:szCs w:val="18"/>
              </w:rPr>
              <w:t>-</w:t>
            </w:r>
          </w:p>
        </w:tc>
        <w:tc>
          <w:tcPr>
            <w:tcW w:w="1701" w:type="dxa"/>
          </w:tcPr>
          <w:p w14:paraId="7F7B5E9B" w14:textId="77777777" w:rsidR="00311663" w:rsidRDefault="00311663" w:rsidP="009426BD">
            <w:pPr>
              <w:pStyle w:val="BodyTextJLL"/>
              <w:jc w:val="center"/>
              <w:rPr>
                <w:sz w:val="18"/>
                <w:szCs w:val="18"/>
              </w:rPr>
            </w:pPr>
            <w:r>
              <w:rPr>
                <w:sz w:val="18"/>
                <w:szCs w:val="18"/>
              </w:rPr>
              <w:t>30</w:t>
            </w:r>
          </w:p>
        </w:tc>
      </w:tr>
    </w:tbl>
    <w:p w14:paraId="2356D3B9" w14:textId="54B22678" w:rsidR="00311663" w:rsidRDefault="00311663" w:rsidP="00311663">
      <w:pPr>
        <w:pStyle w:val="BodyTextJLL"/>
        <w:ind w:left="709"/>
        <w:rPr>
          <w:i/>
          <w:iCs/>
        </w:rPr>
      </w:pPr>
      <w:r w:rsidRPr="00F860C5">
        <w:rPr>
          <w:i/>
          <w:iCs/>
        </w:rPr>
        <w:t>Source</w:t>
      </w:r>
      <w:r>
        <w:rPr>
          <w:i/>
          <w:iCs/>
        </w:rPr>
        <w:t>:</w:t>
      </w:r>
      <w:r w:rsidRPr="00F860C5">
        <w:rPr>
          <w:i/>
          <w:iCs/>
        </w:rPr>
        <w:t xml:space="preserve"> JLL </w:t>
      </w:r>
    </w:p>
    <w:p w14:paraId="517AAD79" w14:textId="77777777" w:rsidR="00EA4ABC" w:rsidRPr="00F860C5" w:rsidRDefault="00EA4ABC" w:rsidP="00311663">
      <w:pPr>
        <w:pStyle w:val="BodyTextJLL"/>
        <w:ind w:left="709"/>
        <w:rPr>
          <w:i/>
          <w:iCs/>
        </w:rPr>
      </w:pPr>
    </w:p>
    <w:p w14:paraId="5505382C" w14:textId="2E8BCF8B" w:rsidR="00311663" w:rsidRPr="00365357" w:rsidRDefault="00311663" w:rsidP="00365357">
      <w:pPr>
        <w:pStyle w:val="ListParagraph"/>
        <w:numPr>
          <w:ilvl w:val="0"/>
          <w:numId w:val="39"/>
        </w:numPr>
        <w:spacing w:before="240"/>
        <w:ind w:hanging="720"/>
        <w:contextualSpacing w:val="0"/>
        <w:jc w:val="both"/>
        <w:rPr>
          <w:rFonts w:ascii="Source Sans Pro" w:hAnsi="Source Sans Pro"/>
          <w:sz w:val="22"/>
        </w:rPr>
      </w:pPr>
      <w:r w:rsidRPr="00365357">
        <w:rPr>
          <w:rFonts w:ascii="Source Sans Pro" w:hAnsi="Source Sans Pro"/>
          <w:sz w:val="22"/>
        </w:rPr>
        <w:lastRenderedPageBreak/>
        <w:t xml:space="preserve">Based on the 2021 EDNA, there is a current minimum shortfall of 210 hectares from the Black Country.  This reduces to 143 hectares once the contribution from the WMI is factored in. </w:t>
      </w:r>
      <w:r w:rsidR="00244318">
        <w:rPr>
          <w:rFonts w:ascii="Source Sans Pro" w:hAnsi="Source Sans Pro"/>
          <w:sz w:val="22"/>
        </w:rPr>
        <w:t xml:space="preserve"> It is to be noted that the market offer presented by WMI is very distinct. It will be </w:t>
      </w:r>
      <w:r w:rsidR="00873D84">
        <w:rPr>
          <w:rFonts w:ascii="Source Sans Pro" w:hAnsi="Source Sans Pro"/>
          <w:sz w:val="22"/>
        </w:rPr>
        <w:t xml:space="preserve">a </w:t>
      </w:r>
      <w:r w:rsidR="00244318">
        <w:rPr>
          <w:rFonts w:ascii="Source Sans Pro" w:hAnsi="Source Sans Pro"/>
          <w:sz w:val="22"/>
        </w:rPr>
        <w:t>wholly distribution (Class B8) based development providing for very large floorplate buildings (generally in excess of 300,000 sq ft, but often greater than 500,000 sq ft). How well it matches, qualitatively, the identified requirement for employment floorspace for the Black Country (in terms of use, size and function) has not been addressed.</w:t>
      </w:r>
    </w:p>
    <w:p w14:paraId="4448D344" w14:textId="5DEEE43A" w:rsidR="00311663" w:rsidRDefault="00311663" w:rsidP="00365357">
      <w:pPr>
        <w:pStyle w:val="ListParagraph"/>
        <w:numPr>
          <w:ilvl w:val="0"/>
          <w:numId w:val="39"/>
        </w:numPr>
        <w:spacing w:before="240"/>
        <w:ind w:hanging="720"/>
        <w:contextualSpacing w:val="0"/>
        <w:jc w:val="both"/>
        <w:rPr>
          <w:rFonts w:ascii="Source Sans Pro" w:hAnsi="Source Sans Pro"/>
          <w:sz w:val="22"/>
        </w:rPr>
      </w:pPr>
      <w:r w:rsidRPr="00365357">
        <w:rPr>
          <w:rFonts w:ascii="Source Sans Pro" w:hAnsi="Source Sans Pro"/>
          <w:sz w:val="22"/>
        </w:rPr>
        <w:t>The Black Country forms its own FEMA.  However, South Staffordshire and Birmingham are considered to be areas of “strong” economic transaction with the Black Country.   South Staffordshire provides a surplus (although this is dependent</w:t>
      </w:r>
      <w:r w:rsidR="005E7575">
        <w:rPr>
          <w:rFonts w:ascii="Source Sans Pro" w:hAnsi="Source Sans Pro"/>
          <w:sz w:val="22"/>
        </w:rPr>
        <w:t>, of course,</w:t>
      </w:r>
      <w:r w:rsidRPr="00365357">
        <w:rPr>
          <w:rFonts w:ascii="Source Sans Pro" w:hAnsi="Source Sans Pro"/>
          <w:sz w:val="22"/>
        </w:rPr>
        <w:t xml:space="preserve"> on counting i54 and R</w:t>
      </w:r>
      <w:r w:rsidR="005E7575">
        <w:rPr>
          <w:rFonts w:ascii="Source Sans Pro" w:hAnsi="Source Sans Pro"/>
          <w:sz w:val="22"/>
        </w:rPr>
        <w:t>O</w:t>
      </w:r>
      <w:r w:rsidRPr="00365357">
        <w:rPr>
          <w:rFonts w:ascii="Source Sans Pro" w:hAnsi="Source Sans Pro"/>
          <w:sz w:val="22"/>
        </w:rPr>
        <w:t>F Featherstone as forming part of its local land supply</w:t>
      </w:r>
      <w:r w:rsidR="005E7575">
        <w:rPr>
          <w:rFonts w:ascii="Source Sans Pro" w:hAnsi="Source Sans Pro"/>
          <w:sz w:val="22"/>
        </w:rPr>
        <w:t xml:space="preserve"> and accepting at face value there is a need of just 63 hectares</w:t>
      </w:r>
      <w:r w:rsidRPr="00365357">
        <w:rPr>
          <w:rFonts w:ascii="Source Sans Pro" w:hAnsi="Source Sans Pro"/>
          <w:sz w:val="22"/>
        </w:rPr>
        <w:t>).  Birmingham has a shortfall.</w:t>
      </w:r>
    </w:p>
    <w:p w14:paraId="31BBA6E5" w14:textId="59D3346B" w:rsidR="00365357" w:rsidRPr="00365357" w:rsidRDefault="00311663" w:rsidP="00365357">
      <w:pPr>
        <w:pStyle w:val="ListParagraph"/>
        <w:numPr>
          <w:ilvl w:val="0"/>
          <w:numId w:val="39"/>
        </w:numPr>
        <w:spacing w:before="240"/>
        <w:ind w:hanging="720"/>
        <w:contextualSpacing w:val="0"/>
        <w:jc w:val="both"/>
        <w:rPr>
          <w:rFonts w:ascii="Source Sans Pro" w:hAnsi="Source Sans Pro"/>
          <w:sz w:val="22"/>
        </w:rPr>
      </w:pPr>
      <w:r w:rsidRPr="00365357">
        <w:rPr>
          <w:rFonts w:ascii="Source Sans Pro" w:hAnsi="Source Sans Pro"/>
          <w:sz w:val="22"/>
        </w:rPr>
        <w:t xml:space="preserve">Cannock Chase and Lichfield both form areas of “moderate” economic transaction with the Black Country.  The land supply and position in Cannock Chase is tight.  The position in Lichfield is more hopeful, with a </w:t>
      </w:r>
      <w:r w:rsidR="00865715">
        <w:rPr>
          <w:rFonts w:ascii="Source Sans Pro" w:hAnsi="Source Sans Pro"/>
          <w:sz w:val="22"/>
        </w:rPr>
        <w:t xml:space="preserve">claimed </w:t>
      </w:r>
      <w:r w:rsidRPr="00365357">
        <w:rPr>
          <w:rFonts w:ascii="Source Sans Pro" w:hAnsi="Source Sans Pro"/>
          <w:sz w:val="22"/>
        </w:rPr>
        <w:t xml:space="preserve">potential surplus of 42 hectares.  However, JLL considers that its assessment of need is </w:t>
      </w:r>
      <w:r w:rsidR="008B6166">
        <w:rPr>
          <w:rFonts w:ascii="Source Sans Pro" w:hAnsi="Source Sans Pro"/>
          <w:sz w:val="22"/>
        </w:rPr>
        <w:t xml:space="preserve">both </w:t>
      </w:r>
      <w:r w:rsidR="00865715">
        <w:rPr>
          <w:rFonts w:ascii="Source Sans Pro" w:hAnsi="Source Sans Pro"/>
          <w:sz w:val="22"/>
        </w:rPr>
        <w:t>wrong and unsound</w:t>
      </w:r>
      <w:r w:rsidRPr="00365357">
        <w:rPr>
          <w:rFonts w:ascii="Source Sans Pro" w:hAnsi="Source Sans Pro"/>
          <w:sz w:val="22"/>
        </w:rPr>
        <w:t>.   In addition, to date, Lichfield has shown no inclination to help to meet any of the shortfall from the Black Country.</w:t>
      </w:r>
    </w:p>
    <w:p w14:paraId="2A10E8C4" w14:textId="6029CCE5" w:rsidR="00311663" w:rsidRPr="00365357" w:rsidRDefault="00311663" w:rsidP="00365357">
      <w:pPr>
        <w:pStyle w:val="ListParagraph"/>
        <w:numPr>
          <w:ilvl w:val="0"/>
          <w:numId w:val="39"/>
        </w:numPr>
        <w:spacing w:before="240"/>
        <w:ind w:hanging="720"/>
        <w:contextualSpacing w:val="0"/>
        <w:jc w:val="both"/>
        <w:rPr>
          <w:rFonts w:ascii="Source Sans Pro" w:hAnsi="Source Sans Pro"/>
          <w:sz w:val="22"/>
        </w:rPr>
      </w:pPr>
      <w:r w:rsidRPr="00365357">
        <w:rPr>
          <w:rFonts w:ascii="Source Sans Pro" w:hAnsi="Source Sans Pro"/>
          <w:sz w:val="22"/>
        </w:rPr>
        <w:t xml:space="preserve"> Shropshire has agreed a contribution of 30 hectares, although it is neither in an area of “strong” or </w:t>
      </w:r>
      <w:r w:rsidR="00873D84">
        <w:rPr>
          <w:rFonts w:ascii="Source Sans Pro" w:hAnsi="Source Sans Pro"/>
          <w:sz w:val="22"/>
        </w:rPr>
        <w:t>“</w:t>
      </w:r>
      <w:r w:rsidRPr="00365357">
        <w:rPr>
          <w:rFonts w:ascii="Source Sans Pro" w:hAnsi="Source Sans Pro"/>
          <w:sz w:val="22"/>
        </w:rPr>
        <w:t>moderate</w:t>
      </w:r>
      <w:r w:rsidR="00873D84">
        <w:rPr>
          <w:rFonts w:ascii="Source Sans Pro" w:hAnsi="Source Sans Pro"/>
          <w:sz w:val="22"/>
        </w:rPr>
        <w:t>”</w:t>
      </w:r>
      <w:r w:rsidRPr="00365357">
        <w:rPr>
          <w:rFonts w:ascii="Source Sans Pro" w:hAnsi="Source Sans Pro"/>
          <w:sz w:val="22"/>
        </w:rPr>
        <w:t xml:space="preserve"> economic transaction with the Black Country. </w:t>
      </w:r>
      <w:r w:rsidR="005E7575">
        <w:rPr>
          <w:rFonts w:ascii="Source Sans Pro" w:hAnsi="Source Sans Pro"/>
          <w:sz w:val="22"/>
        </w:rPr>
        <w:t>This contribution is currently the subject of further scrutiny at the examination of the Shropshire Local Plan</w:t>
      </w:r>
      <w:r w:rsidR="007924CE">
        <w:rPr>
          <w:rFonts w:ascii="Source Sans Pro" w:hAnsi="Source Sans Pro"/>
          <w:sz w:val="22"/>
        </w:rPr>
        <w:t>.</w:t>
      </w:r>
    </w:p>
    <w:p w14:paraId="27A3855F" w14:textId="2D743F60" w:rsidR="00CE36C6" w:rsidRPr="008335AA" w:rsidRDefault="00CE36C6" w:rsidP="00CE36C6">
      <w:pPr>
        <w:pStyle w:val="ListParagraph"/>
        <w:numPr>
          <w:ilvl w:val="0"/>
          <w:numId w:val="39"/>
        </w:numPr>
        <w:spacing w:before="240"/>
        <w:ind w:hanging="720"/>
        <w:contextualSpacing w:val="0"/>
        <w:jc w:val="both"/>
        <w:rPr>
          <w:rFonts w:ascii="Source Sans Pro" w:hAnsi="Source Sans Pro"/>
          <w:sz w:val="22"/>
        </w:rPr>
      </w:pPr>
      <w:r w:rsidRPr="008335AA">
        <w:rPr>
          <w:rFonts w:ascii="Source Sans Pro" w:hAnsi="Source Sans Pro"/>
          <w:sz w:val="22"/>
        </w:rPr>
        <w:t xml:space="preserve">Remaining </w:t>
      </w:r>
      <w:r w:rsidR="00873D84">
        <w:rPr>
          <w:rFonts w:ascii="Source Sans Pro" w:hAnsi="Source Sans Pro"/>
          <w:sz w:val="22"/>
        </w:rPr>
        <w:t>“</w:t>
      </w:r>
      <w:r w:rsidRPr="008335AA">
        <w:rPr>
          <w:rFonts w:ascii="Source Sans Pro" w:hAnsi="Source Sans Pro"/>
          <w:sz w:val="22"/>
        </w:rPr>
        <w:t>moderate</w:t>
      </w:r>
      <w:r w:rsidR="00873D84">
        <w:rPr>
          <w:rFonts w:ascii="Source Sans Pro" w:hAnsi="Source Sans Pro"/>
          <w:sz w:val="22"/>
        </w:rPr>
        <w:t>”</w:t>
      </w:r>
      <w:r w:rsidRPr="008335AA">
        <w:rPr>
          <w:rFonts w:ascii="Source Sans Pro" w:hAnsi="Source Sans Pro"/>
          <w:sz w:val="22"/>
        </w:rPr>
        <w:t xml:space="preserve"> areas of economic transaction with the Black Country</w:t>
      </w:r>
      <w:r w:rsidR="00EA4ABC">
        <w:rPr>
          <w:rFonts w:ascii="Source Sans Pro" w:hAnsi="Source Sans Pro"/>
          <w:sz w:val="22"/>
        </w:rPr>
        <w:t xml:space="preserve"> </w:t>
      </w:r>
      <w:r w:rsidRPr="008335AA">
        <w:rPr>
          <w:rFonts w:ascii="Source Sans Pro" w:hAnsi="Source Sans Pro"/>
          <w:sz w:val="22"/>
        </w:rPr>
        <w:t>-  Bromsgrove, Tamworth, Solihull and Wyre Forest – have not offered any contributions</w:t>
      </w:r>
      <w:r w:rsidR="00873D84">
        <w:rPr>
          <w:rFonts w:ascii="Source Sans Pro" w:hAnsi="Source Sans Pro"/>
          <w:sz w:val="22"/>
        </w:rPr>
        <w:t xml:space="preserve"> and have very limited capacity for additional employment development land</w:t>
      </w:r>
      <w:r w:rsidRPr="008335AA">
        <w:rPr>
          <w:rFonts w:ascii="Source Sans Pro" w:hAnsi="Source Sans Pro"/>
          <w:sz w:val="22"/>
        </w:rPr>
        <w:t xml:space="preserve">.  </w:t>
      </w:r>
    </w:p>
    <w:p w14:paraId="4740675A" w14:textId="2C2C2915" w:rsidR="00CE36C6" w:rsidRPr="00EA4ABC" w:rsidRDefault="00CE36C6" w:rsidP="00CE36C6">
      <w:pPr>
        <w:pStyle w:val="ListParagraph"/>
        <w:numPr>
          <w:ilvl w:val="0"/>
          <w:numId w:val="39"/>
        </w:numPr>
        <w:spacing w:before="240"/>
        <w:ind w:hanging="720"/>
        <w:contextualSpacing w:val="0"/>
        <w:jc w:val="both"/>
        <w:rPr>
          <w:rFonts w:ascii="Source Sans Pro" w:hAnsi="Source Sans Pro"/>
          <w:sz w:val="22"/>
        </w:rPr>
      </w:pPr>
      <w:r w:rsidRPr="00EA4ABC">
        <w:rPr>
          <w:rFonts w:ascii="Source Sans Pro" w:hAnsi="Source Sans Pro"/>
          <w:sz w:val="22"/>
        </w:rPr>
        <w:t xml:space="preserve">It is clear that the Black Country is struggling to get agreement from other local planning authorities to contribute to meeting </w:t>
      </w:r>
      <w:r w:rsidR="00873D84" w:rsidRPr="00EA4ABC">
        <w:rPr>
          <w:rFonts w:ascii="Source Sans Pro" w:hAnsi="Source Sans Pro"/>
          <w:sz w:val="22"/>
        </w:rPr>
        <w:t xml:space="preserve">its </w:t>
      </w:r>
      <w:r w:rsidRPr="00EA4ABC">
        <w:rPr>
          <w:rFonts w:ascii="Source Sans Pro" w:hAnsi="Source Sans Pro"/>
          <w:sz w:val="22"/>
        </w:rPr>
        <w:t xml:space="preserve">shortfall.  The onus for contribution should rest particularly on the areas of </w:t>
      </w:r>
      <w:r w:rsidR="00873D84" w:rsidRPr="00EA4ABC">
        <w:rPr>
          <w:rFonts w:ascii="Source Sans Pro" w:hAnsi="Source Sans Pro"/>
          <w:sz w:val="22"/>
        </w:rPr>
        <w:t>“</w:t>
      </w:r>
      <w:r w:rsidRPr="00EA4ABC">
        <w:rPr>
          <w:rFonts w:ascii="Source Sans Pro" w:hAnsi="Source Sans Pro"/>
          <w:sz w:val="22"/>
        </w:rPr>
        <w:t>strong</w:t>
      </w:r>
      <w:r w:rsidR="00873D84" w:rsidRPr="00EA4ABC">
        <w:rPr>
          <w:rFonts w:ascii="Source Sans Pro" w:hAnsi="Source Sans Pro"/>
          <w:sz w:val="22"/>
        </w:rPr>
        <w:t>”</w:t>
      </w:r>
      <w:r w:rsidRPr="00EA4ABC">
        <w:rPr>
          <w:rFonts w:ascii="Source Sans Pro" w:hAnsi="Source Sans Pro"/>
          <w:sz w:val="22"/>
        </w:rPr>
        <w:t xml:space="preserve"> economic transaction with the Black Country.  These are Birmingham and South Staffordshire.  </w:t>
      </w:r>
    </w:p>
    <w:p w14:paraId="0CC9B95F" w14:textId="11BE854C" w:rsidR="00CE36C6" w:rsidRPr="00EA4ABC" w:rsidRDefault="00CE36C6" w:rsidP="00CE36C6">
      <w:pPr>
        <w:pStyle w:val="ListParagraph"/>
        <w:numPr>
          <w:ilvl w:val="0"/>
          <w:numId w:val="39"/>
        </w:numPr>
        <w:spacing w:before="240"/>
        <w:ind w:hanging="720"/>
        <w:contextualSpacing w:val="0"/>
        <w:jc w:val="both"/>
        <w:rPr>
          <w:rFonts w:ascii="Source Sans Pro" w:hAnsi="Source Sans Pro"/>
          <w:sz w:val="22"/>
        </w:rPr>
      </w:pPr>
      <w:r w:rsidRPr="00EA4ABC">
        <w:rPr>
          <w:rFonts w:ascii="Source Sans Pro" w:hAnsi="Source Sans Pro"/>
          <w:sz w:val="22"/>
        </w:rPr>
        <w:t xml:space="preserve">Like the Black Country, Birmingham is constrained and cannot meet its own identified needs.  South Staffordshire is far less constrained and has the ability to provide more land than the 36.6 hectares of oversupply it references.  At the very least, it could increase its contribution (net of WMI) to 76 hectares.  This will also be consistent with the </w:t>
      </w:r>
      <w:r w:rsidR="00873D84" w:rsidRPr="00EA4ABC">
        <w:rPr>
          <w:rFonts w:ascii="Source Sans Pro" w:hAnsi="Source Sans Pro"/>
          <w:sz w:val="22"/>
        </w:rPr>
        <w:t>S</w:t>
      </w:r>
      <w:r w:rsidRPr="00EA4ABC">
        <w:rPr>
          <w:rFonts w:ascii="Source Sans Pro" w:hAnsi="Source Sans Pro"/>
          <w:sz w:val="22"/>
        </w:rPr>
        <w:t xml:space="preserve">ite </w:t>
      </w:r>
      <w:r w:rsidR="00873D84" w:rsidRPr="00EA4ABC">
        <w:rPr>
          <w:rFonts w:ascii="Source Sans Pro" w:hAnsi="Source Sans Pro"/>
          <w:sz w:val="22"/>
        </w:rPr>
        <w:t>A</w:t>
      </w:r>
      <w:r w:rsidRPr="00EA4ABC">
        <w:rPr>
          <w:rFonts w:ascii="Source Sans Pro" w:hAnsi="Source Sans Pro"/>
          <w:sz w:val="22"/>
        </w:rPr>
        <w:t xml:space="preserve">llocations </w:t>
      </w:r>
      <w:r w:rsidR="00873D84" w:rsidRPr="00EA4ABC">
        <w:rPr>
          <w:rFonts w:ascii="Source Sans Pro" w:hAnsi="Source Sans Pro"/>
          <w:sz w:val="22"/>
        </w:rPr>
        <w:t>D</w:t>
      </w:r>
      <w:r w:rsidRPr="00EA4ABC">
        <w:rPr>
          <w:rFonts w:ascii="Source Sans Pro" w:hAnsi="Source Sans Pro"/>
          <w:sz w:val="22"/>
        </w:rPr>
        <w:t>ocument 2018, which allocate</w:t>
      </w:r>
      <w:r w:rsidR="00873D84" w:rsidRPr="00EA4ABC">
        <w:rPr>
          <w:rFonts w:ascii="Source Sans Pro" w:hAnsi="Source Sans Pro"/>
          <w:sz w:val="22"/>
        </w:rPr>
        <w:t>s</w:t>
      </w:r>
      <w:r w:rsidRPr="00EA4ABC">
        <w:rPr>
          <w:rFonts w:ascii="Source Sans Pro" w:hAnsi="Source Sans Pro"/>
          <w:sz w:val="22"/>
        </w:rPr>
        <w:t xml:space="preserve"> I54 Western Extension (40 hectares) and ROF Featherston</w:t>
      </w:r>
      <w:r w:rsidR="00873D84" w:rsidRPr="00EA4ABC">
        <w:rPr>
          <w:rFonts w:ascii="Source Sans Pro" w:hAnsi="Source Sans Pro"/>
          <w:sz w:val="22"/>
        </w:rPr>
        <w:t>e</w:t>
      </w:r>
      <w:r w:rsidRPr="00EA4ABC">
        <w:rPr>
          <w:rFonts w:ascii="Source Sans Pro" w:hAnsi="Source Sans Pro"/>
          <w:sz w:val="22"/>
        </w:rPr>
        <w:t xml:space="preserve"> (36 hectares) to meet the needs of the Black Country.  </w:t>
      </w:r>
    </w:p>
    <w:p w14:paraId="31D9248A" w14:textId="22ADBD64" w:rsidR="00CE36C6" w:rsidRDefault="00CE36C6" w:rsidP="00CE36C6">
      <w:pPr>
        <w:pStyle w:val="ListParagraph"/>
        <w:numPr>
          <w:ilvl w:val="0"/>
          <w:numId w:val="39"/>
        </w:numPr>
        <w:spacing w:before="240"/>
        <w:ind w:hanging="720"/>
        <w:contextualSpacing w:val="0"/>
        <w:jc w:val="both"/>
        <w:rPr>
          <w:rFonts w:ascii="Source Sans Pro" w:hAnsi="Source Sans Pro"/>
          <w:sz w:val="22"/>
        </w:rPr>
      </w:pPr>
      <w:r w:rsidRPr="008335AA">
        <w:rPr>
          <w:rFonts w:ascii="Source Sans Pro" w:hAnsi="Source Sans Pro"/>
          <w:sz w:val="22"/>
        </w:rPr>
        <w:t xml:space="preserve">As matters stand, the current offer by South Staffordshire of 36 hectares is inadequate, being disproportionately small given the obvious economic relationship with the Black Country.  </w:t>
      </w:r>
      <w:r w:rsidR="00865715">
        <w:rPr>
          <w:rFonts w:ascii="Source Sans Pro" w:hAnsi="Source Sans Pro"/>
          <w:sz w:val="22"/>
        </w:rPr>
        <w:t>Furthermore</w:t>
      </w:r>
      <w:r w:rsidR="005668E6">
        <w:rPr>
          <w:rFonts w:ascii="Source Sans Pro" w:hAnsi="Source Sans Pro"/>
          <w:sz w:val="22"/>
        </w:rPr>
        <w:t>,</w:t>
      </w:r>
      <w:r w:rsidR="00865715">
        <w:rPr>
          <w:rFonts w:ascii="Source Sans Pro" w:hAnsi="Source Sans Pro"/>
          <w:sz w:val="22"/>
        </w:rPr>
        <w:t xml:space="preserve"> it is founded on a wholly misguided approach to employment need and supp</w:t>
      </w:r>
      <w:r w:rsidR="003E4411">
        <w:rPr>
          <w:rFonts w:ascii="Source Sans Pro" w:hAnsi="Source Sans Pro"/>
          <w:sz w:val="22"/>
        </w:rPr>
        <w:t>l</w:t>
      </w:r>
      <w:r w:rsidR="00865715">
        <w:rPr>
          <w:rFonts w:ascii="Source Sans Pro" w:hAnsi="Source Sans Pro"/>
          <w:sz w:val="22"/>
        </w:rPr>
        <w:t xml:space="preserve">y. </w:t>
      </w:r>
      <w:r w:rsidRPr="008335AA">
        <w:rPr>
          <w:rFonts w:ascii="Source Sans Pro" w:hAnsi="Source Sans Pro"/>
          <w:sz w:val="22"/>
        </w:rPr>
        <w:t xml:space="preserve">This represents a failure of the </w:t>
      </w:r>
      <w:r w:rsidR="00873D84">
        <w:rPr>
          <w:rFonts w:ascii="Source Sans Pro" w:hAnsi="Source Sans Pro"/>
          <w:sz w:val="22"/>
        </w:rPr>
        <w:t>D</w:t>
      </w:r>
      <w:r w:rsidRPr="008335AA">
        <w:rPr>
          <w:rFonts w:ascii="Source Sans Pro" w:hAnsi="Source Sans Pro"/>
          <w:sz w:val="22"/>
        </w:rPr>
        <w:t xml:space="preserve">uty to </w:t>
      </w:r>
      <w:r w:rsidR="00873D84">
        <w:rPr>
          <w:rFonts w:ascii="Source Sans Pro" w:hAnsi="Source Sans Pro"/>
          <w:sz w:val="22"/>
        </w:rPr>
        <w:t>C</w:t>
      </w:r>
      <w:r w:rsidRPr="008335AA">
        <w:rPr>
          <w:rFonts w:ascii="Source Sans Pro" w:hAnsi="Source Sans Pro"/>
          <w:sz w:val="22"/>
        </w:rPr>
        <w:t>o</w:t>
      </w:r>
      <w:r w:rsidR="00873D84">
        <w:rPr>
          <w:rFonts w:ascii="Source Sans Pro" w:hAnsi="Source Sans Pro"/>
          <w:sz w:val="22"/>
        </w:rPr>
        <w:t>-</w:t>
      </w:r>
      <w:r w:rsidRPr="008335AA">
        <w:rPr>
          <w:rFonts w:ascii="Source Sans Pro" w:hAnsi="Source Sans Pro"/>
          <w:sz w:val="22"/>
        </w:rPr>
        <w:t xml:space="preserve">operate.  </w:t>
      </w:r>
    </w:p>
    <w:p w14:paraId="7E4758CD" w14:textId="2DC696E2" w:rsidR="00F50C51" w:rsidRDefault="00F50C51" w:rsidP="00F50C51">
      <w:pPr>
        <w:spacing w:before="240"/>
        <w:jc w:val="both"/>
        <w:rPr>
          <w:rFonts w:ascii="Source Sans Pro" w:hAnsi="Source Sans Pro"/>
          <w:sz w:val="22"/>
        </w:rPr>
      </w:pPr>
    </w:p>
    <w:p w14:paraId="36972E86" w14:textId="77777777" w:rsidR="00F50C51" w:rsidRPr="00F50C51" w:rsidRDefault="00F50C51" w:rsidP="00F50C51">
      <w:pPr>
        <w:spacing w:before="240"/>
        <w:jc w:val="both"/>
        <w:rPr>
          <w:rFonts w:ascii="Source Sans Pro" w:hAnsi="Source Sans Pro"/>
          <w:sz w:val="22"/>
        </w:rPr>
      </w:pPr>
    </w:p>
    <w:p w14:paraId="725B905B" w14:textId="77777777" w:rsidR="00CE36C6" w:rsidRPr="008335AA" w:rsidRDefault="00CE36C6" w:rsidP="00CE36C6">
      <w:pPr>
        <w:pStyle w:val="ListParagraph"/>
        <w:spacing w:before="240"/>
        <w:contextualSpacing w:val="0"/>
        <w:jc w:val="both"/>
        <w:rPr>
          <w:rFonts w:ascii="Source Sans Pro" w:hAnsi="Source Sans Pro"/>
          <w:b/>
          <w:bCs/>
          <w:i/>
          <w:iCs/>
          <w:sz w:val="22"/>
        </w:rPr>
      </w:pPr>
      <w:r>
        <w:rPr>
          <w:rFonts w:ascii="Source Sans Pro" w:hAnsi="Source Sans Pro"/>
          <w:b/>
          <w:bCs/>
          <w:i/>
          <w:iCs/>
          <w:sz w:val="22"/>
        </w:rPr>
        <w:lastRenderedPageBreak/>
        <w:t xml:space="preserve">Other Elements </w:t>
      </w:r>
    </w:p>
    <w:p w14:paraId="3DBDE52D" w14:textId="7C7EFECC" w:rsidR="00CE36C6" w:rsidRPr="008335AA" w:rsidRDefault="00CE36C6" w:rsidP="00CE36C6">
      <w:pPr>
        <w:pStyle w:val="ListParagraph"/>
        <w:numPr>
          <w:ilvl w:val="0"/>
          <w:numId w:val="39"/>
        </w:numPr>
        <w:spacing w:before="240"/>
        <w:ind w:hanging="720"/>
        <w:contextualSpacing w:val="0"/>
        <w:jc w:val="both"/>
        <w:rPr>
          <w:rFonts w:ascii="Source Sans Pro" w:hAnsi="Source Sans Pro"/>
          <w:sz w:val="22"/>
        </w:rPr>
      </w:pPr>
      <w:r w:rsidRPr="00FC44EA">
        <w:rPr>
          <w:rFonts w:ascii="Source Sans Pro" w:hAnsi="Source Sans Pro"/>
          <w:sz w:val="22"/>
          <w:szCs w:val="28"/>
        </w:rPr>
        <w:t>Paragr</w:t>
      </w:r>
      <w:r w:rsidRPr="008335AA">
        <w:rPr>
          <w:rFonts w:ascii="Source Sans Pro" w:hAnsi="Source Sans Pro"/>
          <w:sz w:val="22"/>
        </w:rPr>
        <w:t xml:space="preserve">aph 5.63 of the draft </w:t>
      </w:r>
      <w:r w:rsidR="00873D84">
        <w:rPr>
          <w:rFonts w:ascii="Source Sans Pro" w:hAnsi="Source Sans Pro"/>
          <w:sz w:val="22"/>
        </w:rPr>
        <w:t>P</w:t>
      </w:r>
      <w:r w:rsidRPr="008335AA">
        <w:rPr>
          <w:rFonts w:ascii="Source Sans Pro" w:hAnsi="Source Sans Pro"/>
          <w:sz w:val="22"/>
        </w:rPr>
        <w:t xml:space="preserve">lan makes reference to the West Midlands Strategic Employment Site Study 2021.  It is also listed as forming part of the </w:t>
      </w:r>
      <w:r w:rsidR="00873D84">
        <w:rPr>
          <w:rFonts w:ascii="Source Sans Pro" w:hAnsi="Source Sans Pro"/>
          <w:sz w:val="22"/>
        </w:rPr>
        <w:t>P</w:t>
      </w:r>
      <w:r w:rsidRPr="008335AA">
        <w:rPr>
          <w:rFonts w:ascii="Source Sans Pro" w:hAnsi="Source Sans Pro"/>
          <w:sz w:val="22"/>
        </w:rPr>
        <w:t>lan</w:t>
      </w:r>
      <w:r w:rsidR="00873D84">
        <w:rPr>
          <w:rFonts w:ascii="Source Sans Pro" w:hAnsi="Source Sans Pro"/>
          <w:sz w:val="22"/>
        </w:rPr>
        <w:t>’</w:t>
      </w:r>
      <w:r w:rsidRPr="008335AA">
        <w:rPr>
          <w:rFonts w:ascii="Source Sans Pro" w:hAnsi="Source Sans Pro"/>
          <w:sz w:val="22"/>
        </w:rPr>
        <w:t xml:space="preserve">s evidence base.  In paragraph 5.63, it notes that the study was commissioned by Staffordshire County Council on behalf of the four main LEPs for the West Midlands, but the local planning authorities of the region were not directly involved.  It states further that the focus of the </w:t>
      </w:r>
      <w:r w:rsidR="00873D84">
        <w:rPr>
          <w:rFonts w:ascii="Source Sans Pro" w:hAnsi="Source Sans Pro"/>
          <w:sz w:val="22"/>
        </w:rPr>
        <w:t>S</w:t>
      </w:r>
      <w:r w:rsidRPr="008335AA">
        <w:rPr>
          <w:rFonts w:ascii="Source Sans Pro" w:hAnsi="Source Sans Pro"/>
          <w:sz w:val="22"/>
        </w:rPr>
        <w:t>tudy was gauging market demand and it did not provide a full assessment of need nor examined some key policy constraints (i.e Green</w:t>
      </w:r>
      <w:r w:rsidR="00873D84">
        <w:rPr>
          <w:rFonts w:ascii="Source Sans Pro" w:hAnsi="Source Sans Pro"/>
          <w:sz w:val="22"/>
        </w:rPr>
        <w:t xml:space="preserve"> B</w:t>
      </w:r>
      <w:r w:rsidRPr="008335AA">
        <w:rPr>
          <w:rFonts w:ascii="Source Sans Pro" w:hAnsi="Source Sans Pro"/>
          <w:sz w:val="22"/>
        </w:rPr>
        <w:t>elt).   It then makes reference to a follow</w:t>
      </w:r>
      <w:r w:rsidR="00873D84">
        <w:rPr>
          <w:rFonts w:ascii="Source Sans Pro" w:hAnsi="Source Sans Pro"/>
          <w:sz w:val="22"/>
        </w:rPr>
        <w:t>-</w:t>
      </w:r>
      <w:r w:rsidRPr="008335AA">
        <w:rPr>
          <w:rFonts w:ascii="Source Sans Pro" w:hAnsi="Source Sans Pro"/>
          <w:sz w:val="22"/>
        </w:rPr>
        <w:t xml:space="preserve">on study, which has yet to be commissioned, which may provide a clearer picture of the need for strategic employment sites.  </w:t>
      </w:r>
    </w:p>
    <w:p w14:paraId="390DBB67" w14:textId="3E1511BD" w:rsidR="00CE36C6" w:rsidRPr="008335AA" w:rsidRDefault="00CE36C6" w:rsidP="00CE36C6">
      <w:pPr>
        <w:pStyle w:val="ListParagraph"/>
        <w:numPr>
          <w:ilvl w:val="0"/>
          <w:numId w:val="39"/>
        </w:numPr>
        <w:spacing w:before="240"/>
        <w:ind w:hanging="720"/>
        <w:contextualSpacing w:val="0"/>
        <w:jc w:val="both"/>
        <w:rPr>
          <w:rFonts w:ascii="Source Sans Pro" w:hAnsi="Source Sans Pro"/>
          <w:sz w:val="22"/>
        </w:rPr>
      </w:pPr>
      <w:r w:rsidRPr="008335AA">
        <w:rPr>
          <w:rFonts w:ascii="Source Sans Pro" w:hAnsi="Source Sans Pro"/>
          <w:sz w:val="22"/>
        </w:rPr>
        <w:t xml:space="preserve">Essentially, the </w:t>
      </w:r>
      <w:r w:rsidR="00873D84">
        <w:rPr>
          <w:rFonts w:ascii="Source Sans Pro" w:hAnsi="Source Sans Pro"/>
          <w:sz w:val="22"/>
        </w:rPr>
        <w:t>P</w:t>
      </w:r>
      <w:r w:rsidRPr="008335AA">
        <w:rPr>
          <w:rFonts w:ascii="Source Sans Pro" w:hAnsi="Source Sans Pro"/>
          <w:sz w:val="22"/>
        </w:rPr>
        <w:t>lan disregards the findings of the West Midlands Strategic Employment Site</w:t>
      </w:r>
      <w:r w:rsidR="00873D84">
        <w:rPr>
          <w:rFonts w:ascii="Source Sans Pro" w:hAnsi="Source Sans Pro"/>
          <w:sz w:val="22"/>
        </w:rPr>
        <w:t>s</w:t>
      </w:r>
      <w:r w:rsidRPr="008335AA">
        <w:rPr>
          <w:rFonts w:ascii="Source Sans Pro" w:hAnsi="Source Sans Pro"/>
          <w:sz w:val="22"/>
        </w:rPr>
        <w:t xml:space="preserve"> Study.  Moreover, it does not even reference the principal findings, even though South Staffordshire, like all other local planning authorities in the West Midlands, was consulted </w:t>
      </w:r>
      <w:r w:rsidR="00873D84">
        <w:rPr>
          <w:rFonts w:ascii="Source Sans Pro" w:hAnsi="Source Sans Pro"/>
          <w:sz w:val="22"/>
        </w:rPr>
        <w:t xml:space="preserve">fully </w:t>
      </w:r>
      <w:r w:rsidRPr="008335AA">
        <w:rPr>
          <w:rFonts w:ascii="Source Sans Pro" w:hAnsi="Source Sans Pro"/>
          <w:sz w:val="22"/>
        </w:rPr>
        <w:t xml:space="preserve">prior to the </w:t>
      </w:r>
      <w:r w:rsidR="00873D84">
        <w:rPr>
          <w:rFonts w:ascii="Source Sans Pro" w:hAnsi="Source Sans Pro"/>
          <w:sz w:val="22"/>
        </w:rPr>
        <w:t>S</w:t>
      </w:r>
      <w:r w:rsidRPr="008335AA">
        <w:rPr>
          <w:rFonts w:ascii="Source Sans Pro" w:hAnsi="Source Sans Pro"/>
          <w:sz w:val="22"/>
        </w:rPr>
        <w:t xml:space="preserve">tudy's publication.  </w:t>
      </w:r>
    </w:p>
    <w:p w14:paraId="5EDB1FE7" w14:textId="0DBF76D0" w:rsidR="00CE36C6" w:rsidRDefault="00CE36C6" w:rsidP="00CE36C6">
      <w:pPr>
        <w:pStyle w:val="ListParagraph"/>
        <w:numPr>
          <w:ilvl w:val="0"/>
          <w:numId w:val="39"/>
        </w:numPr>
        <w:spacing w:before="240"/>
        <w:ind w:hanging="720"/>
        <w:contextualSpacing w:val="0"/>
        <w:jc w:val="both"/>
        <w:rPr>
          <w:rFonts w:ascii="Source Sans Pro" w:hAnsi="Source Sans Pro"/>
          <w:sz w:val="22"/>
        </w:rPr>
      </w:pPr>
      <w:r w:rsidRPr="008335AA">
        <w:rPr>
          <w:rFonts w:ascii="Source Sans Pro" w:hAnsi="Source Sans Pro"/>
          <w:sz w:val="22"/>
        </w:rPr>
        <w:t xml:space="preserve">It </w:t>
      </w:r>
      <w:r w:rsidR="00873D84">
        <w:rPr>
          <w:rFonts w:ascii="Source Sans Pro" w:hAnsi="Source Sans Pro"/>
          <w:sz w:val="22"/>
        </w:rPr>
        <w:t>should be</w:t>
      </w:r>
      <w:r w:rsidRPr="008335AA">
        <w:rPr>
          <w:rFonts w:ascii="Source Sans Pro" w:hAnsi="Source Sans Pro"/>
          <w:sz w:val="22"/>
        </w:rPr>
        <w:t xml:space="preserve"> recalled that the </w:t>
      </w:r>
      <w:r w:rsidR="00873D84">
        <w:rPr>
          <w:rFonts w:ascii="Source Sans Pro" w:hAnsi="Source Sans Pro"/>
          <w:sz w:val="22"/>
        </w:rPr>
        <w:t>S</w:t>
      </w:r>
      <w:r w:rsidRPr="008335AA">
        <w:rPr>
          <w:rFonts w:ascii="Source Sans Pro" w:hAnsi="Source Sans Pro"/>
          <w:sz w:val="22"/>
        </w:rPr>
        <w:t>tudy conclude</w:t>
      </w:r>
      <w:r w:rsidR="00873D84">
        <w:rPr>
          <w:rFonts w:ascii="Source Sans Pro" w:hAnsi="Source Sans Pro"/>
          <w:sz w:val="22"/>
        </w:rPr>
        <w:t>s</w:t>
      </w:r>
      <w:r w:rsidRPr="008335AA">
        <w:rPr>
          <w:rFonts w:ascii="Source Sans Pro" w:hAnsi="Source Sans Pro"/>
          <w:sz w:val="22"/>
        </w:rPr>
        <w:t xml:space="preserve"> that there </w:t>
      </w:r>
      <w:r w:rsidR="00873D84">
        <w:rPr>
          <w:rFonts w:ascii="Source Sans Pro" w:hAnsi="Source Sans Pro"/>
          <w:sz w:val="22"/>
        </w:rPr>
        <w:t>i</w:t>
      </w:r>
      <w:r w:rsidRPr="008335AA">
        <w:rPr>
          <w:rFonts w:ascii="Source Sans Pro" w:hAnsi="Source Sans Pro"/>
          <w:sz w:val="22"/>
        </w:rPr>
        <w:t xml:space="preserve">s a limited supply of available, allocated and/or committed strategic employment sites across the West Midlands and </w:t>
      </w:r>
      <w:r w:rsidR="00873D84">
        <w:rPr>
          <w:rFonts w:ascii="Source Sans Pro" w:hAnsi="Source Sans Pro"/>
          <w:sz w:val="22"/>
        </w:rPr>
        <w:t xml:space="preserve">an </w:t>
      </w:r>
      <w:r w:rsidRPr="008335AA">
        <w:rPr>
          <w:rFonts w:ascii="Source Sans Pro" w:hAnsi="Source Sans Pro"/>
          <w:sz w:val="22"/>
        </w:rPr>
        <w:t xml:space="preserve">“urgent” need for additional sites to be brought forward.  </w:t>
      </w:r>
    </w:p>
    <w:p w14:paraId="1763D7AF" w14:textId="44A5E408" w:rsidR="00CE36C6" w:rsidRPr="008335AA" w:rsidRDefault="00CE36C6" w:rsidP="00CE36C6">
      <w:pPr>
        <w:pStyle w:val="ListParagraph"/>
        <w:numPr>
          <w:ilvl w:val="0"/>
          <w:numId w:val="39"/>
        </w:numPr>
        <w:spacing w:before="240"/>
        <w:ind w:hanging="720"/>
        <w:contextualSpacing w:val="0"/>
        <w:jc w:val="both"/>
        <w:rPr>
          <w:rFonts w:ascii="Source Sans Pro" w:hAnsi="Source Sans Pro"/>
          <w:sz w:val="22"/>
        </w:rPr>
      </w:pPr>
      <w:r w:rsidRPr="008335AA">
        <w:rPr>
          <w:rFonts w:ascii="Source Sans Pro" w:hAnsi="Source Sans Pro"/>
          <w:sz w:val="22"/>
        </w:rPr>
        <w:t xml:space="preserve">The </w:t>
      </w:r>
      <w:r w:rsidR="00873D84">
        <w:rPr>
          <w:rFonts w:ascii="Source Sans Pro" w:hAnsi="Source Sans Pro"/>
          <w:sz w:val="22"/>
        </w:rPr>
        <w:t>S</w:t>
      </w:r>
      <w:r w:rsidRPr="008335AA">
        <w:rPr>
          <w:rFonts w:ascii="Source Sans Pro" w:hAnsi="Source Sans Pro"/>
          <w:sz w:val="22"/>
        </w:rPr>
        <w:t>tudy identifie</w:t>
      </w:r>
      <w:r w:rsidR="00873D84">
        <w:rPr>
          <w:rFonts w:ascii="Source Sans Pro" w:hAnsi="Source Sans Pro"/>
          <w:sz w:val="22"/>
        </w:rPr>
        <w:t>s</w:t>
      </w:r>
      <w:r w:rsidRPr="008335AA">
        <w:rPr>
          <w:rFonts w:ascii="Source Sans Pro" w:hAnsi="Source Sans Pro"/>
          <w:sz w:val="22"/>
        </w:rPr>
        <w:t xml:space="preserve"> four key locations for future strategic employment sites.  This included </w:t>
      </w:r>
      <w:r w:rsidR="00873D84">
        <w:rPr>
          <w:rFonts w:ascii="Source Sans Pro" w:hAnsi="Source Sans Pro"/>
          <w:sz w:val="22"/>
        </w:rPr>
        <w:t>A</w:t>
      </w:r>
      <w:r w:rsidRPr="008335AA">
        <w:rPr>
          <w:rFonts w:ascii="Source Sans Pro" w:hAnsi="Source Sans Pro"/>
          <w:sz w:val="22"/>
        </w:rPr>
        <w:t xml:space="preserve">rea </w:t>
      </w:r>
      <w:r w:rsidR="00873D84">
        <w:rPr>
          <w:rFonts w:ascii="Source Sans Pro" w:hAnsi="Source Sans Pro"/>
          <w:sz w:val="22"/>
        </w:rPr>
        <w:t>4</w:t>
      </w:r>
      <w:r w:rsidRPr="008335AA">
        <w:rPr>
          <w:rFonts w:ascii="Source Sans Pro" w:hAnsi="Source Sans Pro"/>
          <w:sz w:val="22"/>
        </w:rPr>
        <w:t xml:space="preserve"> - Black Country and South Staffordshire.  The study </w:t>
      </w:r>
      <w:r w:rsidR="003E4411">
        <w:rPr>
          <w:rFonts w:ascii="Source Sans Pro" w:hAnsi="Source Sans Pro"/>
          <w:sz w:val="22"/>
        </w:rPr>
        <w:t xml:space="preserve">also </w:t>
      </w:r>
      <w:r w:rsidRPr="008335AA">
        <w:rPr>
          <w:rFonts w:ascii="Source Sans Pro" w:hAnsi="Source Sans Pro"/>
          <w:sz w:val="22"/>
        </w:rPr>
        <w:t>appraise</w:t>
      </w:r>
      <w:r w:rsidR="00873D84">
        <w:rPr>
          <w:rFonts w:ascii="Source Sans Pro" w:hAnsi="Source Sans Pro"/>
          <w:sz w:val="22"/>
        </w:rPr>
        <w:t>s</w:t>
      </w:r>
      <w:r w:rsidRPr="008335AA">
        <w:rPr>
          <w:rFonts w:ascii="Source Sans Pro" w:hAnsi="Source Sans Pro"/>
          <w:sz w:val="22"/>
        </w:rPr>
        <w:t xml:space="preserve"> a number of potential new sites as to their capability of meeting the requirements for strategic employment sites (generally defined as being greater than 25 hectares and being located on a motorway or strategic road junction).  </w:t>
      </w:r>
      <w:r w:rsidR="00873D84">
        <w:rPr>
          <w:rFonts w:ascii="Source Sans Pro" w:hAnsi="Source Sans Pro"/>
          <w:sz w:val="22"/>
        </w:rPr>
        <w:t>This includes sites within South Staffordshire. This is considered further in the separate representations by JLL in respect of Policy SA7: Employment Allocations.</w:t>
      </w:r>
    </w:p>
    <w:p w14:paraId="6C56043A" w14:textId="1B60C5FF" w:rsidR="00CE36C6" w:rsidRPr="008335AA" w:rsidRDefault="00CE36C6" w:rsidP="00CE36C6">
      <w:pPr>
        <w:pStyle w:val="ListParagraph"/>
        <w:numPr>
          <w:ilvl w:val="0"/>
          <w:numId w:val="39"/>
        </w:numPr>
        <w:spacing w:before="240"/>
        <w:ind w:hanging="720"/>
        <w:contextualSpacing w:val="0"/>
        <w:jc w:val="both"/>
        <w:rPr>
          <w:rFonts w:ascii="Source Sans Pro" w:hAnsi="Source Sans Pro"/>
          <w:sz w:val="22"/>
        </w:rPr>
      </w:pPr>
      <w:r w:rsidRPr="008335AA">
        <w:rPr>
          <w:rFonts w:ascii="Source Sans Pro" w:hAnsi="Source Sans Pro"/>
          <w:sz w:val="22"/>
        </w:rPr>
        <w:t>National Planning Policy Guidance emphasises the importance of taking into account market signals, including patterns of market demand, in assessing the quantum and type of employment land required to fulfil wider economic need (paragraphs 25 to 29).  The Council accepts that the West Midlands Strategic Employment Site</w:t>
      </w:r>
      <w:r w:rsidR="00F50C51">
        <w:rPr>
          <w:rFonts w:ascii="Source Sans Pro" w:hAnsi="Source Sans Pro"/>
          <w:sz w:val="22"/>
        </w:rPr>
        <w:t>s</w:t>
      </w:r>
      <w:r w:rsidRPr="008335AA">
        <w:rPr>
          <w:rFonts w:ascii="Source Sans Pro" w:hAnsi="Source Sans Pro"/>
          <w:sz w:val="22"/>
        </w:rPr>
        <w:t xml:space="preserve"> Study is a material consideration in the development plan</w:t>
      </w:r>
      <w:r w:rsidR="00855F64">
        <w:rPr>
          <w:rFonts w:ascii="Source Sans Pro" w:hAnsi="Source Sans Pro"/>
          <w:sz w:val="22"/>
        </w:rPr>
        <w:t>-</w:t>
      </w:r>
      <w:r w:rsidRPr="008335AA">
        <w:rPr>
          <w:rFonts w:ascii="Source Sans Pro" w:hAnsi="Source Sans Pro"/>
          <w:sz w:val="22"/>
        </w:rPr>
        <w:t>making process in market terms</w:t>
      </w:r>
      <w:r w:rsidR="00F50C51">
        <w:rPr>
          <w:rFonts w:ascii="Source Sans Pro" w:hAnsi="Source Sans Pro"/>
          <w:sz w:val="22"/>
        </w:rPr>
        <w:t xml:space="preserve"> (paragraph 5.63 of the draft Plan)</w:t>
      </w:r>
      <w:r w:rsidRPr="008335AA">
        <w:rPr>
          <w:rFonts w:ascii="Source Sans Pro" w:hAnsi="Source Sans Pro"/>
          <w:sz w:val="22"/>
        </w:rPr>
        <w:t xml:space="preserve">. However, </w:t>
      </w:r>
      <w:r w:rsidR="00855F64">
        <w:rPr>
          <w:rFonts w:ascii="Source Sans Pro" w:hAnsi="Source Sans Pro"/>
          <w:sz w:val="22"/>
        </w:rPr>
        <w:t xml:space="preserve">it </w:t>
      </w:r>
      <w:r w:rsidRPr="008335AA">
        <w:rPr>
          <w:rFonts w:ascii="Source Sans Pro" w:hAnsi="Source Sans Pro"/>
          <w:sz w:val="22"/>
        </w:rPr>
        <w:t xml:space="preserve">still chooses to </w:t>
      </w:r>
      <w:r w:rsidR="00865715">
        <w:rPr>
          <w:rFonts w:ascii="Source Sans Pro" w:hAnsi="Source Sans Pro"/>
          <w:sz w:val="22"/>
        </w:rPr>
        <w:t xml:space="preserve">entirely </w:t>
      </w:r>
      <w:r w:rsidRPr="008335AA">
        <w:rPr>
          <w:rFonts w:ascii="Source Sans Pro" w:hAnsi="Source Sans Pro"/>
          <w:sz w:val="22"/>
        </w:rPr>
        <w:t xml:space="preserve">disregard its findings, </w:t>
      </w:r>
      <w:r w:rsidR="003E4411">
        <w:rPr>
          <w:rFonts w:ascii="Source Sans Pro" w:hAnsi="Source Sans Pro"/>
          <w:sz w:val="22"/>
        </w:rPr>
        <w:t xml:space="preserve">and </w:t>
      </w:r>
      <w:r w:rsidRPr="008335AA">
        <w:rPr>
          <w:rFonts w:ascii="Source Sans Pro" w:hAnsi="Source Sans Pro"/>
          <w:sz w:val="22"/>
        </w:rPr>
        <w:t>has made no effort to identify new strategic employment site</w:t>
      </w:r>
      <w:r w:rsidR="00855F64">
        <w:rPr>
          <w:rFonts w:ascii="Source Sans Pro" w:hAnsi="Source Sans Pro"/>
          <w:sz w:val="22"/>
        </w:rPr>
        <w:t>s</w:t>
      </w:r>
      <w:r w:rsidRPr="008335AA">
        <w:rPr>
          <w:rFonts w:ascii="Source Sans Pro" w:hAnsi="Source Sans Pro"/>
          <w:sz w:val="22"/>
        </w:rPr>
        <w:t xml:space="preserve"> or collaborate with the Black Country local planning authorities to assess what opportunities exist. </w:t>
      </w:r>
    </w:p>
    <w:p w14:paraId="3AED12FE" w14:textId="5DF9A123" w:rsidR="00CE36C6" w:rsidRDefault="00CE36C6" w:rsidP="00CE36C6">
      <w:pPr>
        <w:pStyle w:val="ListParagraph"/>
        <w:numPr>
          <w:ilvl w:val="0"/>
          <w:numId w:val="39"/>
        </w:numPr>
        <w:spacing w:before="240"/>
        <w:ind w:hanging="720"/>
        <w:contextualSpacing w:val="0"/>
        <w:jc w:val="both"/>
        <w:rPr>
          <w:rFonts w:ascii="Source Sans Pro" w:hAnsi="Source Sans Pro"/>
          <w:sz w:val="22"/>
        </w:rPr>
      </w:pPr>
      <w:r w:rsidRPr="008335AA">
        <w:rPr>
          <w:rFonts w:ascii="Source Sans Pro" w:hAnsi="Source Sans Pro"/>
          <w:sz w:val="22"/>
        </w:rPr>
        <w:t xml:space="preserve">This approach fails the basic requirements of local planning authorities identifying gaps in the market and then acting to fill them (paragraph 29 of the National Planning Guidance under </w:t>
      </w:r>
      <w:r w:rsidR="00855F64">
        <w:rPr>
          <w:rFonts w:ascii="Source Sans Pro" w:hAnsi="Source Sans Pro"/>
          <w:sz w:val="22"/>
        </w:rPr>
        <w:t>the</w:t>
      </w:r>
      <w:r w:rsidRPr="008335AA">
        <w:rPr>
          <w:rFonts w:ascii="Source Sans Pro" w:hAnsi="Source Sans Pro"/>
          <w:sz w:val="22"/>
        </w:rPr>
        <w:t xml:space="preserve"> heading of Economic Need).  It also goes against the grain of recent Government advice, particularly in respect of increasing support and recognition </w:t>
      </w:r>
      <w:r w:rsidR="00855F64">
        <w:rPr>
          <w:rFonts w:ascii="Source Sans Pro" w:hAnsi="Source Sans Pro"/>
          <w:sz w:val="22"/>
        </w:rPr>
        <w:t>of</w:t>
      </w:r>
      <w:r w:rsidRPr="008335AA">
        <w:rPr>
          <w:rFonts w:ascii="Source Sans Pro" w:hAnsi="Source Sans Pro"/>
          <w:sz w:val="22"/>
        </w:rPr>
        <w:t xml:space="preserve"> the logistics and freight sectors.</w:t>
      </w:r>
    </w:p>
    <w:p w14:paraId="3AB28471" w14:textId="6A9892A3" w:rsidR="005B5645" w:rsidRDefault="005B5645" w:rsidP="005B5645">
      <w:pPr>
        <w:pStyle w:val="ListParagraph"/>
        <w:spacing w:before="240"/>
        <w:contextualSpacing w:val="0"/>
        <w:jc w:val="both"/>
        <w:rPr>
          <w:rFonts w:ascii="Source Sans Pro" w:hAnsi="Source Sans Pro"/>
          <w:sz w:val="22"/>
        </w:rPr>
      </w:pPr>
    </w:p>
    <w:p w14:paraId="7A3E7098" w14:textId="48728150" w:rsidR="00F50C51" w:rsidRDefault="00F50C51" w:rsidP="005B5645">
      <w:pPr>
        <w:pStyle w:val="ListParagraph"/>
        <w:spacing w:before="240"/>
        <w:contextualSpacing w:val="0"/>
        <w:jc w:val="both"/>
        <w:rPr>
          <w:rFonts w:ascii="Source Sans Pro" w:hAnsi="Source Sans Pro"/>
          <w:sz w:val="22"/>
        </w:rPr>
      </w:pPr>
    </w:p>
    <w:p w14:paraId="6BD7AAE8" w14:textId="77777777" w:rsidR="00F50C51" w:rsidRDefault="00F50C51" w:rsidP="005B5645">
      <w:pPr>
        <w:pStyle w:val="ListParagraph"/>
        <w:spacing w:before="240"/>
        <w:contextualSpacing w:val="0"/>
        <w:jc w:val="both"/>
        <w:rPr>
          <w:rFonts w:ascii="Source Sans Pro" w:hAnsi="Source Sans Pro"/>
          <w:sz w:val="22"/>
        </w:rPr>
      </w:pPr>
    </w:p>
    <w:p w14:paraId="3B637B3E" w14:textId="7FA4D457" w:rsidR="005B5645" w:rsidRPr="005B5645" w:rsidRDefault="005B5645" w:rsidP="005B5645">
      <w:pPr>
        <w:pStyle w:val="ListParagraph"/>
        <w:numPr>
          <w:ilvl w:val="0"/>
          <w:numId w:val="39"/>
        </w:numPr>
        <w:ind w:hanging="720"/>
        <w:contextualSpacing w:val="0"/>
        <w:jc w:val="both"/>
        <w:rPr>
          <w:rFonts w:ascii="Source Sans Pro" w:hAnsi="Source Sans Pro"/>
          <w:sz w:val="22"/>
        </w:rPr>
      </w:pPr>
      <w:r w:rsidRPr="0080612E">
        <w:rPr>
          <w:rFonts w:ascii="Source Sans Pro" w:hAnsi="Source Sans Pro"/>
          <w:sz w:val="22"/>
        </w:rPr>
        <w:lastRenderedPageBreak/>
        <w:t xml:space="preserve">National </w:t>
      </w:r>
      <w:r w:rsidR="00855F64">
        <w:rPr>
          <w:rFonts w:ascii="Source Sans Pro" w:hAnsi="Source Sans Pro"/>
          <w:sz w:val="22"/>
        </w:rPr>
        <w:t>P</w:t>
      </w:r>
      <w:r w:rsidRPr="0080612E">
        <w:rPr>
          <w:rFonts w:ascii="Source Sans Pro" w:hAnsi="Source Sans Pro"/>
          <w:sz w:val="22"/>
        </w:rPr>
        <w:t xml:space="preserve">lanning </w:t>
      </w:r>
      <w:r w:rsidR="00855F64">
        <w:rPr>
          <w:rFonts w:ascii="Source Sans Pro" w:hAnsi="Source Sans Pro"/>
          <w:sz w:val="22"/>
        </w:rPr>
        <w:t>P</w:t>
      </w:r>
      <w:r w:rsidRPr="0080612E">
        <w:rPr>
          <w:rFonts w:ascii="Source Sans Pro" w:hAnsi="Source Sans Pro"/>
          <w:sz w:val="22"/>
        </w:rPr>
        <w:t xml:space="preserve">olicy </w:t>
      </w:r>
      <w:r w:rsidR="00855F64">
        <w:rPr>
          <w:rFonts w:ascii="Source Sans Pro" w:hAnsi="Source Sans Pro"/>
          <w:sz w:val="22"/>
        </w:rPr>
        <w:t>G</w:t>
      </w:r>
      <w:r w:rsidRPr="0080612E">
        <w:rPr>
          <w:rFonts w:ascii="Source Sans Pro" w:hAnsi="Source Sans Pro"/>
          <w:sz w:val="22"/>
        </w:rPr>
        <w:t xml:space="preserve">uidance issued by </w:t>
      </w:r>
      <w:r>
        <w:rPr>
          <w:rFonts w:ascii="Source Sans Pro" w:hAnsi="Source Sans Pro"/>
          <w:sz w:val="22"/>
        </w:rPr>
        <w:t>C</w:t>
      </w:r>
      <w:r w:rsidRPr="0080612E">
        <w:rPr>
          <w:rFonts w:ascii="Source Sans Pro" w:hAnsi="Source Sans Pro"/>
          <w:sz w:val="22"/>
        </w:rPr>
        <w:t xml:space="preserve">entral </w:t>
      </w:r>
      <w:r>
        <w:rPr>
          <w:rFonts w:ascii="Source Sans Pro" w:hAnsi="Source Sans Pro"/>
          <w:sz w:val="22"/>
        </w:rPr>
        <w:t>G</w:t>
      </w:r>
      <w:r w:rsidRPr="0080612E">
        <w:rPr>
          <w:rFonts w:ascii="Source Sans Pro" w:hAnsi="Source Sans Pro"/>
          <w:sz w:val="22"/>
        </w:rPr>
        <w:t xml:space="preserve">overnment now recognises to a much greater extent </w:t>
      </w:r>
      <w:r>
        <w:rPr>
          <w:rFonts w:ascii="Source Sans Pro" w:hAnsi="Source Sans Pro"/>
          <w:sz w:val="22"/>
        </w:rPr>
        <w:t>the</w:t>
      </w:r>
      <w:r w:rsidRPr="0080612E">
        <w:rPr>
          <w:rFonts w:ascii="Source Sans Pro" w:hAnsi="Source Sans Pro"/>
          <w:sz w:val="22"/>
        </w:rPr>
        <w:t xml:space="preserve"> critical role that the logistics industry plays in terms of the wider economy.  Recent changes made to the NPPF and PPG acknowledge the sector</w:t>
      </w:r>
      <w:r>
        <w:rPr>
          <w:rFonts w:ascii="Source Sans Pro" w:hAnsi="Source Sans Pro"/>
          <w:sz w:val="22"/>
        </w:rPr>
        <w:t>’</w:t>
      </w:r>
      <w:r w:rsidRPr="0080612E">
        <w:rPr>
          <w:rFonts w:ascii="Source Sans Pro" w:hAnsi="Source Sans Pro"/>
          <w:sz w:val="22"/>
        </w:rPr>
        <w:t xml:space="preserve">s contribution to local employment opportunities and its distinct locational requirements (i.e. </w:t>
      </w:r>
      <w:r>
        <w:rPr>
          <w:rFonts w:ascii="Source Sans Pro" w:hAnsi="Source Sans Pro"/>
          <w:sz w:val="22"/>
        </w:rPr>
        <w:t xml:space="preserve">at scale at </w:t>
      </w:r>
      <w:r w:rsidRPr="0080612E">
        <w:rPr>
          <w:rFonts w:ascii="Source Sans Pro" w:hAnsi="Source Sans Pro"/>
          <w:sz w:val="22"/>
        </w:rPr>
        <w:t xml:space="preserve">suitably accessible locations).  </w:t>
      </w:r>
    </w:p>
    <w:p w14:paraId="6D93634A" w14:textId="77777777" w:rsidR="005B5645" w:rsidRDefault="005B5645" w:rsidP="005B5645">
      <w:pPr>
        <w:pStyle w:val="ListParagraph"/>
        <w:spacing w:before="240"/>
        <w:contextualSpacing w:val="0"/>
        <w:jc w:val="both"/>
        <w:rPr>
          <w:rFonts w:ascii="Source Sans Pro" w:hAnsi="Source Sans Pro"/>
          <w:sz w:val="22"/>
        </w:rPr>
      </w:pPr>
    </w:p>
    <w:p w14:paraId="331C8FF6" w14:textId="6C43DEAC" w:rsidR="005B5645" w:rsidRDefault="005B5645" w:rsidP="005B5645">
      <w:pPr>
        <w:pStyle w:val="ListParagraph"/>
        <w:numPr>
          <w:ilvl w:val="0"/>
          <w:numId w:val="39"/>
        </w:numPr>
        <w:ind w:hanging="720"/>
        <w:contextualSpacing w:val="0"/>
        <w:jc w:val="both"/>
        <w:rPr>
          <w:rFonts w:ascii="Source Sans Pro" w:hAnsi="Source Sans Pro"/>
          <w:sz w:val="22"/>
        </w:rPr>
      </w:pPr>
      <w:r w:rsidRPr="0080612E">
        <w:rPr>
          <w:rFonts w:ascii="Source Sans Pro" w:hAnsi="Source Sans Pro"/>
          <w:sz w:val="22"/>
        </w:rPr>
        <w:t xml:space="preserve">Paragraph </w:t>
      </w:r>
      <w:r w:rsidR="00855F64">
        <w:rPr>
          <w:rFonts w:ascii="Source Sans Pro" w:hAnsi="Source Sans Pro"/>
          <w:sz w:val="22"/>
        </w:rPr>
        <w:t>31 of this section of the PPG</w:t>
      </w:r>
      <w:r w:rsidRPr="0080612E">
        <w:rPr>
          <w:rFonts w:ascii="Source Sans Pro" w:hAnsi="Source Sans Pro"/>
          <w:sz w:val="22"/>
        </w:rPr>
        <w:t xml:space="preserve"> provides more detailed guidance on how </w:t>
      </w:r>
      <w:r>
        <w:rPr>
          <w:rFonts w:ascii="Source Sans Pro" w:hAnsi="Source Sans Pro"/>
          <w:sz w:val="22"/>
        </w:rPr>
        <w:t>l</w:t>
      </w:r>
      <w:r w:rsidRPr="0080612E">
        <w:rPr>
          <w:rFonts w:ascii="Source Sans Pro" w:hAnsi="Source Sans Pro"/>
          <w:sz w:val="22"/>
        </w:rPr>
        <w:t xml:space="preserve">ocal </w:t>
      </w:r>
      <w:r>
        <w:rPr>
          <w:rFonts w:ascii="Source Sans Pro" w:hAnsi="Source Sans Pro"/>
          <w:sz w:val="22"/>
        </w:rPr>
        <w:t>p</w:t>
      </w:r>
      <w:r w:rsidRPr="0080612E">
        <w:rPr>
          <w:rFonts w:ascii="Source Sans Pro" w:hAnsi="Source Sans Pro"/>
          <w:sz w:val="22"/>
        </w:rPr>
        <w:t xml:space="preserve">lanning </w:t>
      </w:r>
      <w:r>
        <w:rPr>
          <w:rFonts w:ascii="Source Sans Pro" w:hAnsi="Source Sans Pro"/>
          <w:sz w:val="22"/>
        </w:rPr>
        <w:t>a</w:t>
      </w:r>
      <w:r w:rsidRPr="0080612E">
        <w:rPr>
          <w:rFonts w:ascii="Source Sans Pro" w:hAnsi="Source Sans Pro"/>
          <w:sz w:val="22"/>
        </w:rPr>
        <w:t>uthorities should assess need and allocate land for logistics.  This refers to:</w:t>
      </w:r>
      <w:r>
        <w:rPr>
          <w:rFonts w:ascii="Source Sans Pro" w:hAnsi="Source Sans Pro"/>
          <w:sz w:val="22"/>
        </w:rPr>
        <w:t xml:space="preserve"> </w:t>
      </w:r>
      <w:r w:rsidRPr="0080612E">
        <w:rPr>
          <w:rFonts w:ascii="Source Sans Pro" w:hAnsi="Source Sans Pro"/>
          <w:sz w:val="22"/>
        </w:rPr>
        <w:t>-</w:t>
      </w:r>
    </w:p>
    <w:p w14:paraId="69CB96B9" w14:textId="77777777" w:rsidR="005B5645" w:rsidRPr="000C2018" w:rsidRDefault="005B5645" w:rsidP="005B5645">
      <w:pPr>
        <w:pStyle w:val="ListParagraph"/>
        <w:contextualSpacing w:val="0"/>
        <w:rPr>
          <w:rFonts w:ascii="Source Sans Pro" w:hAnsi="Source Sans Pro"/>
          <w:sz w:val="22"/>
        </w:rPr>
      </w:pPr>
    </w:p>
    <w:p w14:paraId="4262268D" w14:textId="77777777" w:rsidR="005B5645" w:rsidRPr="0080612E" w:rsidRDefault="005B5645" w:rsidP="005B5645">
      <w:pPr>
        <w:pStyle w:val="BulletOneJLL"/>
        <w:numPr>
          <w:ilvl w:val="0"/>
          <w:numId w:val="38"/>
        </w:numPr>
        <w:tabs>
          <w:tab w:val="left" w:pos="1276"/>
        </w:tabs>
        <w:spacing w:line="240" w:lineRule="auto"/>
        <w:ind w:left="1276" w:hanging="567"/>
      </w:pPr>
      <w:r w:rsidRPr="0080612E">
        <w:t>Engagement with logistics developers.</w:t>
      </w:r>
    </w:p>
    <w:p w14:paraId="4A6DC5EA" w14:textId="77777777" w:rsidR="005B5645" w:rsidRPr="0080612E" w:rsidRDefault="005B5645" w:rsidP="005B5645">
      <w:pPr>
        <w:pStyle w:val="BulletOneJLL"/>
        <w:numPr>
          <w:ilvl w:val="0"/>
          <w:numId w:val="38"/>
        </w:numPr>
        <w:tabs>
          <w:tab w:val="left" w:pos="1276"/>
        </w:tabs>
        <w:spacing w:line="240" w:lineRule="auto"/>
        <w:ind w:left="1276" w:hanging="567"/>
      </w:pPr>
      <w:r w:rsidRPr="0080612E">
        <w:t>Analysis of market signals (including trends on take-up).</w:t>
      </w:r>
    </w:p>
    <w:p w14:paraId="704E81EA" w14:textId="77777777" w:rsidR="005B5645" w:rsidRPr="0080612E" w:rsidRDefault="005B5645" w:rsidP="005B5645">
      <w:pPr>
        <w:pStyle w:val="BulletOneJLL"/>
        <w:numPr>
          <w:ilvl w:val="0"/>
          <w:numId w:val="38"/>
        </w:numPr>
        <w:tabs>
          <w:tab w:val="left" w:pos="1276"/>
        </w:tabs>
        <w:spacing w:line="240" w:lineRule="auto"/>
        <w:ind w:left="1276" w:hanging="567"/>
      </w:pPr>
      <w:r w:rsidRPr="0080612E">
        <w:t>Analysis of economic forecast</w:t>
      </w:r>
      <w:r>
        <w:t>s</w:t>
      </w:r>
      <w:r w:rsidRPr="0080612E">
        <w:t>.</w:t>
      </w:r>
    </w:p>
    <w:p w14:paraId="0EDADB08" w14:textId="77777777" w:rsidR="005B5645" w:rsidRDefault="005B5645" w:rsidP="005B5645">
      <w:pPr>
        <w:pStyle w:val="BulletOneJLL"/>
        <w:numPr>
          <w:ilvl w:val="0"/>
          <w:numId w:val="38"/>
        </w:numPr>
        <w:tabs>
          <w:tab w:val="left" w:pos="1276"/>
        </w:tabs>
        <w:spacing w:after="0" w:line="240" w:lineRule="auto"/>
        <w:ind w:left="1276" w:hanging="567"/>
      </w:pPr>
      <w:r w:rsidRPr="0080612E">
        <w:t xml:space="preserve">Engagement with LEPs (or their successor bodies).  </w:t>
      </w:r>
    </w:p>
    <w:p w14:paraId="7D118078" w14:textId="77777777" w:rsidR="005B5645" w:rsidRPr="0080612E" w:rsidRDefault="005B5645" w:rsidP="005B5645">
      <w:pPr>
        <w:pStyle w:val="BulletOneJLL"/>
        <w:tabs>
          <w:tab w:val="left" w:pos="1276"/>
        </w:tabs>
        <w:spacing w:after="0" w:line="240" w:lineRule="auto"/>
        <w:ind w:left="1276" w:firstLine="0"/>
      </w:pPr>
    </w:p>
    <w:p w14:paraId="237A6F23" w14:textId="031D1A8B" w:rsidR="005B5645" w:rsidRDefault="005B5645" w:rsidP="005B5645">
      <w:pPr>
        <w:pStyle w:val="ListParagraph"/>
        <w:numPr>
          <w:ilvl w:val="0"/>
          <w:numId w:val="39"/>
        </w:numPr>
        <w:ind w:hanging="720"/>
        <w:contextualSpacing w:val="0"/>
        <w:jc w:val="both"/>
        <w:rPr>
          <w:rFonts w:ascii="Source Sans Pro" w:hAnsi="Source Sans Pro"/>
          <w:sz w:val="22"/>
        </w:rPr>
      </w:pPr>
      <w:r w:rsidRPr="0080612E">
        <w:rPr>
          <w:rFonts w:ascii="Source Sans Pro" w:hAnsi="Source Sans Pro"/>
          <w:sz w:val="22"/>
        </w:rPr>
        <w:t xml:space="preserve">In June this year, the DFT published </w:t>
      </w:r>
      <w:r w:rsidR="003E4411">
        <w:rPr>
          <w:rFonts w:ascii="Source Sans Pro" w:hAnsi="Source Sans Pro"/>
          <w:sz w:val="22"/>
        </w:rPr>
        <w:t>“</w:t>
      </w:r>
      <w:r w:rsidRPr="0080612E">
        <w:rPr>
          <w:rFonts w:ascii="Source Sans Pro" w:hAnsi="Source Sans Pro"/>
          <w:sz w:val="22"/>
        </w:rPr>
        <w:t xml:space="preserve">The Future of Freight – </w:t>
      </w:r>
      <w:r>
        <w:rPr>
          <w:rFonts w:ascii="Source Sans Pro" w:hAnsi="Source Sans Pro"/>
          <w:sz w:val="22"/>
        </w:rPr>
        <w:t>a</w:t>
      </w:r>
      <w:r w:rsidRPr="0080612E">
        <w:rPr>
          <w:rFonts w:ascii="Source Sans Pro" w:hAnsi="Source Sans Pro"/>
          <w:sz w:val="22"/>
        </w:rPr>
        <w:t xml:space="preserve"> </w:t>
      </w:r>
      <w:r>
        <w:rPr>
          <w:rFonts w:ascii="Source Sans Pro" w:hAnsi="Source Sans Pro"/>
          <w:sz w:val="22"/>
        </w:rPr>
        <w:t>l</w:t>
      </w:r>
      <w:r w:rsidRPr="0080612E">
        <w:rPr>
          <w:rFonts w:ascii="Source Sans Pro" w:hAnsi="Source Sans Pro"/>
          <w:sz w:val="22"/>
        </w:rPr>
        <w:t xml:space="preserve">ong </w:t>
      </w:r>
      <w:r>
        <w:rPr>
          <w:rFonts w:ascii="Source Sans Pro" w:hAnsi="Source Sans Pro"/>
          <w:sz w:val="22"/>
        </w:rPr>
        <w:t>t</w:t>
      </w:r>
      <w:r w:rsidRPr="0080612E">
        <w:rPr>
          <w:rFonts w:ascii="Source Sans Pro" w:hAnsi="Source Sans Pro"/>
          <w:sz w:val="22"/>
        </w:rPr>
        <w:t xml:space="preserve">erm </w:t>
      </w:r>
      <w:r>
        <w:rPr>
          <w:rFonts w:ascii="Source Sans Pro" w:hAnsi="Source Sans Pro"/>
          <w:sz w:val="22"/>
        </w:rPr>
        <w:t>p</w:t>
      </w:r>
      <w:r w:rsidRPr="0080612E">
        <w:rPr>
          <w:rFonts w:ascii="Source Sans Pro" w:hAnsi="Source Sans Pro"/>
          <w:sz w:val="22"/>
        </w:rPr>
        <w:t>lan</w:t>
      </w:r>
      <w:r w:rsidR="003409EA">
        <w:rPr>
          <w:rFonts w:ascii="Source Sans Pro" w:hAnsi="Source Sans Pro"/>
          <w:sz w:val="22"/>
        </w:rPr>
        <w:t>”</w:t>
      </w:r>
      <w:r w:rsidR="005668E6">
        <w:rPr>
          <w:rStyle w:val="FootnoteReference"/>
          <w:rFonts w:ascii="Source Sans Pro" w:hAnsi="Source Sans Pro"/>
          <w:sz w:val="22"/>
        </w:rPr>
        <w:footnoteReference w:id="5"/>
      </w:r>
      <w:r w:rsidR="005668E6">
        <w:rPr>
          <w:rFonts w:ascii="Source Sans Pro" w:hAnsi="Source Sans Pro"/>
          <w:sz w:val="22"/>
        </w:rPr>
        <w:t>.</w:t>
      </w:r>
      <w:r w:rsidR="00855F64">
        <w:rPr>
          <w:rFonts w:ascii="Source Sans Pro" w:hAnsi="Source Sans Pro"/>
          <w:sz w:val="22"/>
        </w:rPr>
        <w:t xml:space="preserve"> </w:t>
      </w:r>
      <w:r w:rsidRPr="0080612E">
        <w:rPr>
          <w:rFonts w:ascii="Source Sans Pro" w:hAnsi="Source Sans Pro"/>
          <w:sz w:val="22"/>
        </w:rPr>
        <w:t xml:space="preserve">One of the principal themes is </w:t>
      </w:r>
      <w:r>
        <w:rPr>
          <w:rFonts w:ascii="Source Sans Pro" w:hAnsi="Source Sans Pro"/>
          <w:sz w:val="22"/>
        </w:rPr>
        <w:t>P</w:t>
      </w:r>
      <w:r w:rsidRPr="0080612E">
        <w:rPr>
          <w:rFonts w:ascii="Source Sans Pro" w:hAnsi="Source Sans Pro"/>
          <w:sz w:val="22"/>
        </w:rPr>
        <w:t xml:space="preserve">lanning.  It sets a goal of </w:t>
      </w:r>
      <w:r w:rsidRPr="006D0121">
        <w:rPr>
          <w:rFonts w:ascii="Source Sans Pro" w:hAnsi="Source Sans Pro"/>
          <w:i/>
          <w:iCs/>
          <w:sz w:val="22"/>
        </w:rPr>
        <w:t>“a planning system which fully recognises the needs of the freight and logistics sector now and in the future and empowers the relevant planning authority to plan for these needs”</w:t>
      </w:r>
      <w:r w:rsidRPr="0080612E">
        <w:rPr>
          <w:rFonts w:ascii="Source Sans Pro" w:hAnsi="Source Sans Pro"/>
          <w:sz w:val="22"/>
        </w:rPr>
        <w:t xml:space="preserve">.  In addition, </w:t>
      </w:r>
      <w:r w:rsidRPr="006D0121">
        <w:rPr>
          <w:rFonts w:ascii="Source Sans Pro" w:hAnsi="Source Sans Pro"/>
          <w:i/>
          <w:iCs/>
          <w:sz w:val="22"/>
        </w:rPr>
        <w:t>“an increase in site allocations for freight and supply infrastructure being adopted in Local Plans to reflect the needs of the sector”</w:t>
      </w:r>
      <w:r w:rsidRPr="0080612E">
        <w:rPr>
          <w:rFonts w:ascii="Source Sans Pro" w:hAnsi="Source Sans Pro"/>
          <w:sz w:val="22"/>
        </w:rPr>
        <w:t xml:space="preserve"> is provided as a future measure of success for the overall strategy for freight in the UK. </w:t>
      </w:r>
    </w:p>
    <w:p w14:paraId="3DE1E010" w14:textId="0E90043E" w:rsidR="00CE36C6" w:rsidRDefault="00CE36C6" w:rsidP="00CE36C6">
      <w:pPr>
        <w:pStyle w:val="ListParagraph"/>
        <w:numPr>
          <w:ilvl w:val="0"/>
          <w:numId w:val="39"/>
        </w:numPr>
        <w:spacing w:before="240"/>
        <w:ind w:hanging="720"/>
        <w:contextualSpacing w:val="0"/>
        <w:jc w:val="both"/>
        <w:rPr>
          <w:rFonts w:ascii="Source Sans Pro" w:hAnsi="Source Sans Pro"/>
          <w:sz w:val="22"/>
          <w:szCs w:val="28"/>
        </w:rPr>
      </w:pPr>
      <w:r>
        <w:rPr>
          <w:rFonts w:ascii="Source Sans Pro" w:hAnsi="Source Sans Pro"/>
          <w:sz w:val="22"/>
          <w:szCs w:val="28"/>
        </w:rPr>
        <w:t>F</w:t>
      </w:r>
      <w:r w:rsidRPr="00FC44EA">
        <w:rPr>
          <w:rFonts w:ascii="Source Sans Pro" w:hAnsi="Source Sans Pro"/>
          <w:sz w:val="22"/>
          <w:szCs w:val="28"/>
        </w:rPr>
        <w:t xml:space="preserve">or reasons that </w:t>
      </w:r>
      <w:r>
        <w:rPr>
          <w:rFonts w:ascii="Source Sans Pro" w:hAnsi="Source Sans Pro"/>
          <w:sz w:val="22"/>
          <w:szCs w:val="28"/>
        </w:rPr>
        <w:t xml:space="preserve">are </w:t>
      </w:r>
      <w:r w:rsidRPr="00FC44EA">
        <w:rPr>
          <w:rFonts w:ascii="Source Sans Pro" w:hAnsi="Source Sans Pro"/>
          <w:sz w:val="22"/>
          <w:szCs w:val="28"/>
        </w:rPr>
        <w:t>not clear</w:t>
      </w:r>
      <w:r>
        <w:rPr>
          <w:rFonts w:ascii="Source Sans Pro" w:hAnsi="Source Sans Pro"/>
          <w:sz w:val="22"/>
          <w:szCs w:val="28"/>
        </w:rPr>
        <w:t xml:space="preserve">, </w:t>
      </w:r>
      <w:r w:rsidRPr="00FC44EA">
        <w:rPr>
          <w:rFonts w:ascii="Source Sans Pro" w:hAnsi="Source Sans Pro"/>
          <w:sz w:val="22"/>
          <w:szCs w:val="28"/>
        </w:rPr>
        <w:t xml:space="preserve">the sections in the draft </w:t>
      </w:r>
      <w:r w:rsidR="00256555">
        <w:rPr>
          <w:rFonts w:ascii="Source Sans Pro" w:hAnsi="Source Sans Pro"/>
          <w:sz w:val="22"/>
          <w:szCs w:val="28"/>
        </w:rPr>
        <w:t>P</w:t>
      </w:r>
      <w:r w:rsidRPr="00FC44EA">
        <w:rPr>
          <w:rFonts w:ascii="Source Sans Pro" w:hAnsi="Source Sans Pro"/>
          <w:sz w:val="22"/>
          <w:szCs w:val="28"/>
        </w:rPr>
        <w:t>lan on the economy and employment land make no reference to the</w:t>
      </w:r>
      <w:r>
        <w:rPr>
          <w:rFonts w:ascii="Source Sans Pro" w:hAnsi="Source Sans Pro"/>
          <w:sz w:val="22"/>
          <w:szCs w:val="28"/>
        </w:rPr>
        <w:t xml:space="preserve"> M54/M6 </w:t>
      </w:r>
      <w:r w:rsidRPr="00FC44EA">
        <w:rPr>
          <w:rFonts w:ascii="Source Sans Pro" w:hAnsi="Source Sans Pro"/>
          <w:sz w:val="22"/>
          <w:szCs w:val="28"/>
        </w:rPr>
        <w:t xml:space="preserve">link </w:t>
      </w:r>
      <w:r>
        <w:rPr>
          <w:rFonts w:ascii="Source Sans Pro" w:hAnsi="Source Sans Pro"/>
          <w:sz w:val="22"/>
          <w:szCs w:val="28"/>
        </w:rPr>
        <w:t>road</w:t>
      </w:r>
      <w:r w:rsidRPr="00FC44EA">
        <w:rPr>
          <w:rFonts w:ascii="Source Sans Pro" w:hAnsi="Source Sans Pro"/>
          <w:sz w:val="22"/>
          <w:szCs w:val="28"/>
        </w:rPr>
        <w:t xml:space="preserve">.  In addition, the </w:t>
      </w:r>
      <w:r w:rsidR="00256555">
        <w:rPr>
          <w:rFonts w:ascii="Source Sans Pro" w:hAnsi="Source Sans Pro"/>
          <w:sz w:val="22"/>
          <w:szCs w:val="28"/>
        </w:rPr>
        <w:t>S</w:t>
      </w:r>
      <w:r w:rsidRPr="00FC44EA">
        <w:rPr>
          <w:rFonts w:ascii="Source Sans Pro" w:hAnsi="Source Sans Pro"/>
          <w:sz w:val="22"/>
          <w:szCs w:val="28"/>
        </w:rPr>
        <w:t xml:space="preserve">ustainability </w:t>
      </w:r>
      <w:r w:rsidR="00256555">
        <w:rPr>
          <w:rFonts w:ascii="Source Sans Pro" w:hAnsi="Source Sans Pro"/>
          <w:sz w:val="22"/>
          <w:szCs w:val="28"/>
        </w:rPr>
        <w:t>A</w:t>
      </w:r>
      <w:r w:rsidRPr="00FC44EA">
        <w:rPr>
          <w:rFonts w:ascii="Source Sans Pro" w:hAnsi="Source Sans Pro"/>
          <w:sz w:val="22"/>
          <w:szCs w:val="28"/>
        </w:rPr>
        <w:t>ppraisal makes no reference to it either</w:t>
      </w:r>
      <w:r>
        <w:rPr>
          <w:rFonts w:ascii="Source Sans Pro" w:hAnsi="Source Sans Pro"/>
          <w:sz w:val="22"/>
          <w:szCs w:val="28"/>
        </w:rPr>
        <w:t xml:space="preserve"> i</w:t>
      </w:r>
      <w:r w:rsidRPr="00FC44EA">
        <w:rPr>
          <w:rFonts w:ascii="Source Sans Pro" w:hAnsi="Source Sans Pro"/>
          <w:sz w:val="22"/>
          <w:szCs w:val="28"/>
        </w:rPr>
        <w:t>n its a</w:t>
      </w:r>
      <w:r w:rsidR="003E4411">
        <w:rPr>
          <w:rFonts w:ascii="Source Sans Pro" w:hAnsi="Source Sans Pro"/>
          <w:sz w:val="22"/>
          <w:szCs w:val="28"/>
        </w:rPr>
        <w:t>nalysis</w:t>
      </w:r>
      <w:r w:rsidR="003409EA">
        <w:rPr>
          <w:rFonts w:ascii="Source Sans Pro" w:hAnsi="Source Sans Pro"/>
          <w:sz w:val="22"/>
          <w:szCs w:val="28"/>
        </w:rPr>
        <w:t xml:space="preserve"> </w:t>
      </w:r>
      <w:r w:rsidRPr="00FC44EA">
        <w:rPr>
          <w:rFonts w:ascii="Source Sans Pro" w:hAnsi="Source Sans Pro"/>
          <w:sz w:val="22"/>
          <w:szCs w:val="28"/>
        </w:rPr>
        <w:t xml:space="preserve">of employment growth options or its appraisal of employment distribution options.  This seems odd given </w:t>
      </w:r>
      <w:r w:rsidR="003E4411">
        <w:rPr>
          <w:rFonts w:ascii="Source Sans Pro" w:hAnsi="Source Sans Pro"/>
          <w:sz w:val="22"/>
          <w:szCs w:val="28"/>
        </w:rPr>
        <w:t>that has been long in preparation</w:t>
      </w:r>
    </w:p>
    <w:p w14:paraId="1D5D8C3F" w14:textId="09943421" w:rsidR="00CE36C6" w:rsidRDefault="00CE36C6" w:rsidP="00CE36C6">
      <w:pPr>
        <w:pStyle w:val="ListParagraph"/>
        <w:numPr>
          <w:ilvl w:val="0"/>
          <w:numId w:val="39"/>
        </w:numPr>
        <w:spacing w:before="240"/>
        <w:ind w:hanging="720"/>
        <w:contextualSpacing w:val="0"/>
        <w:jc w:val="both"/>
        <w:rPr>
          <w:rFonts w:ascii="Source Sans Pro" w:hAnsi="Source Sans Pro"/>
          <w:sz w:val="22"/>
        </w:rPr>
      </w:pPr>
      <w:r>
        <w:rPr>
          <w:rFonts w:ascii="Source Sans Pro" w:hAnsi="Source Sans Pro"/>
          <w:sz w:val="22"/>
          <w:szCs w:val="28"/>
        </w:rPr>
        <w:t>T</w:t>
      </w:r>
      <w:r w:rsidRPr="00FC44EA">
        <w:rPr>
          <w:rFonts w:ascii="Source Sans Pro" w:hAnsi="Source Sans Pro"/>
          <w:sz w:val="22"/>
          <w:szCs w:val="28"/>
        </w:rPr>
        <w:t xml:space="preserve">his key </w:t>
      </w:r>
      <w:r w:rsidR="00865715">
        <w:rPr>
          <w:rFonts w:ascii="Source Sans Pro" w:hAnsi="Source Sans Pro"/>
          <w:sz w:val="22"/>
          <w:szCs w:val="28"/>
        </w:rPr>
        <w:t>element</w:t>
      </w:r>
      <w:r w:rsidRPr="00FC44EA">
        <w:rPr>
          <w:rFonts w:ascii="Source Sans Pro" w:hAnsi="Source Sans Pro"/>
          <w:sz w:val="22"/>
          <w:szCs w:val="28"/>
        </w:rPr>
        <w:t xml:space="preserve"> of </w:t>
      </w:r>
      <w:r w:rsidR="00865715">
        <w:rPr>
          <w:rFonts w:ascii="Source Sans Pro" w:hAnsi="Source Sans Pro"/>
          <w:sz w:val="22"/>
          <w:szCs w:val="28"/>
        </w:rPr>
        <w:t xml:space="preserve">nationally important </w:t>
      </w:r>
      <w:r w:rsidRPr="00FC44EA">
        <w:rPr>
          <w:rFonts w:ascii="Source Sans Pro" w:hAnsi="Source Sans Pro"/>
          <w:sz w:val="22"/>
          <w:szCs w:val="28"/>
        </w:rPr>
        <w:t xml:space="preserve">infrastructure received a </w:t>
      </w:r>
      <w:r>
        <w:rPr>
          <w:rFonts w:ascii="Source Sans Pro" w:hAnsi="Source Sans Pro"/>
          <w:sz w:val="22"/>
          <w:szCs w:val="28"/>
        </w:rPr>
        <w:t xml:space="preserve">Development Consent Order </w:t>
      </w:r>
      <w:r w:rsidRPr="00FC44EA">
        <w:rPr>
          <w:rFonts w:ascii="Source Sans Pro" w:hAnsi="Source Sans Pro"/>
          <w:sz w:val="22"/>
          <w:szCs w:val="28"/>
        </w:rPr>
        <w:t xml:space="preserve">from the Secretary of State in April.  </w:t>
      </w:r>
      <w:r>
        <w:rPr>
          <w:rFonts w:ascii="Source Sans Pro" w:hAnsi="Source Sans Pro"/>
          <w:sz w:val="22"/>
          <w:szCs w:val="28"/>
        </w:rPr>
        <w:t>C</w:t>
      </w:r>
      <w:r w:rsidRPr="00FC44EA">
        <w:rPr>
          <w:rFonts w:ascii="Source Sans Pro" w:hAnsi="Source Sans Pro"/>
          <w:sz w:val="22"/>
          <w:szCs w:val="28"/>
        </w:rPr>
        <w:t xml:space="preserve">onstruction is due to start early in 2023.  </w:t>
      </w:r>
      <w:r>
        <w:rPr>
          <w:rFonts w:ascii="Source Sans Pro" w:hAnsi="Source Sans Pro"/>
          <w:sz w:val="22"/>
          <w:szCs w:val="28"/>
        </w:rPr>
        <w:t xml:space="preserve">The </w:t>
      </w:r>
      <w:r w:rsidRPr="00FC44EA">
        <w:rPr>
          <w:rFonts w:ascii="Source Sans Pro" w:hAnsi="Source Sans Pro"/>
          <w:sz w:val="22"/>
          <w:szCs w:val="28"/>
        </w:rPr>
        <w:t xml:space="preserve">link road will greatly improve road communications </w:t>
      </w:r>
      <w:r>
        <w:rPr>
          <w:rFonts w:ascii="Source Sans Pro" w:hAnsi="Source Sans Pro"/>
          <w:sz w:val="22"/>
          <w:szCs w:val="28"/>
        </w:rPr>
        <w:t xml:space="preserve">to </w:t>
      </w:r>
      <w:r w:rsidRPr="00FC44EA">
        <w:rPr>
          <w:rFonts w:ascii="Source Sans Pro" w:hAnsi="Source Sans Pro"/>
          <w:sz w:val="22"/>
          <w:szCs w:val="28"/>
        </w:rPr>
        <w:t xml:space="preserve">the district.  </w:t>
      </w:r>
      <w:r>
        <w:rPr>
          <w:rFonts w:ascii="Source Sans Pro" w:hAnsi="Source Sans Pro"/>
          <w:sz w:val="22"/>
          <w:szCs w:val="28"/>
        </w:rPr>
        <w:t>T</w:t>
      </w:r>
      <w:r w:rsidRPr="00FC44EA">
        <w:rPr>
          <w:rFonts w:ascii="Source Sans Pro" w:hAnsi="Source Sans Pro"/>
          <w:sz w:val="22"/>
          <w:szCs w:val="28"/>
        </w:rPr>
        <w:t xml:space="preserve">he </w:t>
      </w:r>
      <w:r>
        <w:rPr>
          <w:rFonts w:ascii="Source Sans Pro" w:hAnsi="Source Sans Pro"/>
          <w:sz w:val="22"/>
          <w:szCs w:val="28"/>
        </w:rPr>
        <w:t xml:space="preserve">West Midlands </w:t>
      </w:r>
      <w:r w:rsidR="00256555">
        <w:rPr>
          <w:rFonts w:ascii="Source Sans Pro" w:hAnsi="Source Sans Pro"/>
          <w:sz w:val="22"/>
          <w:szCs w:val="28"/>
        </w:rPr>
        <w:t xml:space="preserve">Strategic </w:t>
      </w:r>
      <w:r>
        <w:rPr>
          <w:rFonts w:ascii="Source Sans Pro" w:hAnsi="Source Sans Pro"/>
          <w:sz w:val="22"/>
          <w:szCs w:val="28"/>
        </w:rPr>
        <w:t>E</w:t>
      </w:r>
      <w:r w:rsidRPr="00FC44EA">
        <w:rPr>
          <w:rFonts w:ascii="Source Sans Pro" w:hAnsi="Source Sans Pro"/>
          <w:sz w:val="22"/>
          <w:szCs w:val="28"/>
        </w:rPr>
        <w:t xml:space="preserve">mployment </w:t>
      </w:r>
      <w:r>
        <w:rPr>
          <w:rFonts w:ascii="Source Sans Pro" w:hAnsi="Source Sans Pro"/>
          <w:sz w:val="22"/>
          <w:szCs w:val="28"/>
        </w:rPr>
        <w:t>S</w:t>
      </w:r>
      <w:r w:rsidRPr="00FC44EA">
        <w:rPr>
          <w:rFonts w:ascii="Source Sans Pro" w:hAnsi="Source Sans Pro"/>
          <w:sz w:val="22"/>
          <w:szCs w:val="28"/>
        </w:rPr>
        <w:t>ite</w:t>
      </w:r>
      <w:r w:rsidR="00256555">
        <w:rPr>
          <w:rFonts w:ascii="Source Sans Pro" w:hAnsi="Source Sans Pro"/>
          <w:sz w:val="22"/>
          <w:szCs w:val="28"/>
        </w:rPr>
        <w:t>s</w:t>
      </w:r>
      <w:r w:rsidRPr="00FC44EA">
        <w:rPr>
          <w:rFonts w:ascii="Source Sans Pro" w:hAnsi="Source Sans Pro"/>
          <w:sz w:val="22"/>
          <w:szCs w:val="28"/>
        </w:rPr>
        <w:t xml:space="preserve"> </w:t>
      </w:r>
      <w:r>
        <w:rPr>
          <w:rFonts w:ascii="Source Sans Pro" w:hAnsi="Source Sans Pro"/>
          <w:sz w:val="22"/>
          <w:szCs w:val="28"/>
        </w:rPr>
        <w:t>S</w:t>
      </w:r>
      <w:r w:rsidRPr="00FC44EA">
        <w:rPr>
          <w:rFonts w:ascii="Source Sans Pro" w:hAnsi="Source Sans Pro"/>
          <w:sz w:val="22"/>
          <w:szCs w:val="28"/>
        </w:rPr>
        <w:t xml:space="preserve">tudy </w:t>
      </w:r>
      <w:r>
        <w:rPr>
          <w:rFonts w:ascii="Source Sans Pro" w:hAnsi="Source Sans Pro"/>
          <w:sz w:val="22"/>
          <w:szCs w:val="28"/>
        </w:rPr>
        <w:t xml:space="preserve">draws </w:t>
      </w:r>
      <w:r w:rsidRPr="00FC44EA">
        <w:rPr>
          <w:rFonts w:ascii="Source Sans Pro" w:hAnsi="Source Sans Pro"/>
          <w:sz w:val="22"/>
          <w:szCs w:val="28"/>
        </w:rPr>
        <w:t xml:space="preserve">specific references to </w:t>
      </w:r>
      <w:r w:rsidR="00256555">
        <w:rPr>
          <w:rFonts w:ascii="Source Sans Pro" w:hAnsi="Source Sans Pro"/>
          <w:sz w:val="22"/>
          <w:szCs w:val="28"/>
        </w:rPr>
        <w:t xml:space="preserve">it </w:t>
      </w:r>
      <w:r w:rsidRPr="00FC44EA">
        <w:rPr>
          <w:rFonts w:ascii="Source Sans Pro" w:hAnsi="Source Sans Pro"/>
          <w:sz w:val="22"/>
          <w:szCs w:val="28"/>
        </w:rPr>
        <w:t>being an opportunity that should be exploited</w:t>
      </w:r>
      <w:r>
        <w:rPr>
          <w:rFonts w:ascii="Source Sans Pro" w:hAnsi="Source Sans Pro"/>
          <w:sz w:val="22"/>
          <w:szCs w:val="28"/>
        </w:rPr>
        <w:t xml:space="preserve">, </w:t>
      </w:r>
      <w:r w:rsidRPr="00FC44EA">
        <w:rPr>
          <w:rFonts w:ascii="Source Sans Pro" w:hAnsi="Source Sans Pro"/>
          <w:sz w:val="22"/>
          <w:szCs w:val="28"/>
        </w:rPr>
        <w:t xml:space="preserve">through unlocking development potential for strategic employment sites.  </w:t>
      </w:r>
    </w:p>
    <w:p w14:paraId="28DA1CD6" w14:textId="013DF6E4" w:rsidR="00CE36C6" w:rsidRPr="008335AA" w:rsidRDefault="00256555" w:rsidP="00256555">
      <w:pPr>
        <w:pStyle w:val="ListParagraph"/>
        <w:spacing w:before="240"/>
        <w:ind w:hanging="720"/>
        <w:contextualSpacing w:val="0"/>
        <w:jc w:val="both"/>
        <w:rPr>
          <w:rFonts w:ascii="Source Sans Pro" w:hAnsi="Source Sans Pro"/>
          <w:b/>
          <w:bCs/>
          <w:sz w:val="22"/>
        </w:rPr>
      </w:pPr>
      <w:r>
        <w:rPr>
          <w:rFonts w:ascii="Source Sans Pro" w:hAnsi="Source Sans Pro"/>
          <w:b/>
          <w:bCs/>
          <w:sz w:val="22"/>
        </w:rPr>
        <w:t xml:space="preserve">Box 6 – Suggested </w:t>
      </w:r>
      <w:r w:rsidR="00CE36C6">
        <w:rPr>
          <w:rFonts w:ascii="Source Sans Pro" w:hAnsi="Source Sans Pro"/>
          <w:b/>
          <w:bCs/>
          <w:sz w:val="22"/>
        </w:rPr>
        <w:t xml:space="preserve">Modifications </w:t>
      </w:r>
    </w:p>
    <w:p w14:paraId="52911050" w14:textId="5B5CC55A" w:rsidR="00CE36C6" w:rsidRPr="00D82AA2" w:rsidRDefault="00CE36C6" w:rsidP="00CE36C6">
      <w:pPr>
        <w:pStyle w:val="ListParagraph"/>
        <w:numPr>
          <w:ilvl w:val="0"/>
          <w:numId w:val="39"/>
        </w:numPr>
        <w:spacing w:before="240"/>
        <w:ind w:hanging="720"/>
        <w:contextualSpacing w:val="0"/>
        <w:jc w:val="both"/>
        <w:rPr>
          <w:rFonts w:ascii="Source Sans Pro" w:hAnsi="Source Sans Pro"/>
          <w:sz w:val="22"/>
        </w:rPr>
      </w:pPr>
      <w:r w:rsidRPr="00FC44EA">
        <w:rPr>
          <w:rFonts w:ascii="Source Sans Pro" w:hAnsi="Source Sans Pro"/>
          <w:sz w:val="22"/>
          <w:szCs w:val="28"/>
        </w:rPr>
        <w:t>Part</w:t>
      </w:r>
      <w:r w:rsidRPr="00D82AA2">
        <w:rPr>
          <w:rFonts w:ascii="Source Sans Pro" w:hAnsi="Source Sans Pro"/>
          <w:sz w:val="22"/>
        </w:rPr>
        <w:t xml:space="preserve"> </w:t>
      </w:r>
      <w:r w:rsidR="00256555">
        <w:rPr>
          <w:rFonts w:ascii="Source Sans Pro" w:hAnsi="Source Sans Pro"/>
          <w:sz w:val="22"/>
        </w:rPr>
        <w:t xml:space="preserve">b) </w:t>
      </w:r>
      <w:r w:rsidRPr="00D82AA2">
        <w:rPr>
          <w:rFonts w:ascii="Source Sans Pro" w:hAnsi="Source Sans Pro"/>
          <w:sz w:val="22"/>
        </w:rPr>
        <w:t xml:space="preserve">of </w:t>
      </w:r>
      <w:r w:rsidR="00256555">
        <w:rPr>
          <w:rFonts w:ascii="Source Sans Pro" w:hAnsi="Source Sans Pro"/>
          <w:sz w:val="22"/>
        </w:rPr>
        <w:t>P</w:t>
      </w:r>
      <w:r w:rsidRPr="00D82AA2">
        <w:rPr>
          <w:rFonts w:ascii="Source Sans Pro" w:hAnsi="Source Sans Pro"/>
          <w:sz w:val="22"/>
        </w:rPr>
        <w:t xml:space="preserve">olicy DS4 makes reference to a need of 63.6 hectares and a supply of 99 hectares (excluding WMI).  Neither figure is reliable, for the reasons provided above, and should be the subject of an absolute reassessment, both quantitatively and qualitatively.  </w:t>
      </w:r>
    </w:p>
    <w:p w14:paraId="222BAD59" w14:textId="45FF656A" w:rsidR="00CE36C6" w:rsidRPr="00D82AA2" w:rsidRDefault="00CE36C6" w:rsidP="00CE36C6">
      <w:pPr>
        <w:pStyle w:val="ListParagraph"/>
        <w:numPr>
          <w:ilvl w:val="0"/>
          <w:numId w:val="39"/>
        </w:numPr>
        <w:spacing w:before="240"/>
        <w:ind w:hanging="720"/>
        <w:contextualSpacing w:val="0"/>
        <w:jc w:val="both"/>
        <w:rPr>
          <w:rFonts w:ascii="Source Sans Pro" w:hAnsi="Source Sans Pro"/>
          <w:sz w:val="22"/>
        </w:rPr>
      </w:pPr>
      <w:r w:rsidRPr="00D82AA2">
        <w:rPr>
          <w:rFonts w:ascii="Source Sans Pro" w:hAnsi="Source Sans Pro"/>
          <w:sz w:val="22"/>
        </w:rPr>
        <w:lastRenderedPageBreak/>
        <w:t>JLL’s quantitative assessment is that the local need should be a</w:t>
      </w:r>
      <w:r w:rsidR="003E4411">
        <w:rPr>
          <w:rFonts w:ascii="Source Sans Pro" w:hAnsi="Source Sans Pro"/>
          <w:sz w:val="22"/>
        </w:rPr>
        <w:t xml:space="preserve">n absolute </w:t>
      </w:r>
      <w:r w:rsidRPr="00D82AA2">
        <w:rPr>
          <w:rFonts w:ascii="Source Sans Pro" w:hAnsi="Source Sans Pro"/>
          <w:sz w:val="22"/>
        </w:rPr>
        <w:t xml:space="preserve">minimum of 127 hectares.  This reflects a more realistic position and responds better to current market signals.  </w:t>
      </w:r>
    </w:p>
    <w:p w14:paraId="00A5F279" w14:textId="15CC098B" w:rsidR="00CE36C6" w:rsidRPr="00D82AA2" w:rsidRDefault="00CE36C6" w:rsidP="00CE36C6">
      <w:pPr>
        <w:pStyle w:val="ListParagraph"/>
        <w:numPr>
          <w:ilvl w:val="0"/>
          <w:numId w:val="39"/>
        </w:numPr>
        <w:spacing w:before="240"/>
        <w:ind w:hanging="720"/>
        <w:contextualSpacing w:val="0"/>
        <w:jc w:val="both"/>
        <w:rPr>
          <w:rFonts w:ascii="Source Sans Pro" w:hAnsi="Source Sans Pro"/>
          <w:sz w:val="22"/>
        </w:rPr>
      </w:pPr>
      <w:r w:rsidRPr="00D82AA2">
        <w:rPr>
          <w:rFonts w:ascii="Source Sans Pro" w:hAnsi="Source Sans Pro"/>
          <w:sz w:val="22"/>
        </w:rPr>
        <w:t>JLL’s quantitative assessment of supply, to meet local needs, is that it is no greater than 18 hectares (excluding WMI)</w:t>
      </w:r>
      <w:r w:rsidR="00256555">
        <w:rPr>
          <w:rFonts w:ascii="Source Sans Pro" w:hAnsi="Source Sans Pro"/>
          <w:sz w:val="22"/>
        </w:rPr>
        <w:t xml:space="preserve"> as at 2020</w:t>
      </w:r>
      <w:r w:rsidRPr="00D82AA2">
        <w:rPr>
          <w:rFonts w:ascii="Source Sans Pro" w:hAnsi="Source Sans Pro"/>
          <w:sz w:val="22"/>
        </w:rPr>
        <w:t xml:space="preserve">.  The sites at </w:t>
      </w:r>
      <w:r w:rsidR="003409EA">
        <w:rPr>
          <w:rFonts w:ascii="Source Sans Pro" w:hAnsi="Source Sans Pro"/>
          <w:sz w:val="22"/>
        </w:rPr>
        <w:t>i</w:t>
      </w:r>
      <w:r w:rsidRPr="00D82AA2">
        <w:rPr>
          <w:rFonts w:ascii="Source Sans Pro" w:hAnsi="Source Sans Pro"/>
          <w:sz w:val="22"/>
        </w:rPr>
        <w:t xml:space="preserve">54 Western Extension (40 hectares) and ROF Featherstone (36 hectares) </w:t>
      </w:r>
      <w:r w:rsidR="00256555">
        <w:rPr>
          <w:rFonts w:ascii="Source Sans Pro" w:hAnsi="Source Sans Pro"/>
          <w:sz w:val="22"/>
        </w:rPr>
        <w:t>a</w:t>
      </w:r>
      <w:r w:rsidRPr="00D82AA2">
        <w:rPr>
          <w:rFonts w:ascii="Source Sans Pro" w:hAnsi="Source Sans Pro"/>
          <w:sz w:val="22"/>
        </w:rPr>
        <w:t xml:space="preserve">re allocated by the Site Allocations Document 2018 to expressly meet the needs of the Black Country and do not form part of the land supply to meet local need.  They should count instead as part of a minimum contribution of 76 hectares to meet the unmet needs of the Black Country.  </w:t>
      </w:r>
    </w:p>
    <w:p w14:paraId="7953B5D7" w14:textId="32F88A7C" w:rsidR="00CE36C6" w:rsidRPr="00D82AA2" w:rsidRDefault="00CE36C6" w:rsidP="00CE36C6">
      <w:pPr>
        <w:pStyle w:val="ListParagraph"/>
        <w:numPr>
          <w:ilvl w:val="0"/>
          <w:numId w:val="39"/>
        </w:numPr>
        <w:spacing w:before="240"/>
        <w:ind w:hanging="720"/>
        <w:contextualSpacing w:val="0"/>
        <w:jc w:val="both"/>
        <w:rPr>
          <w:rFonts w:ascii="Source Sans Pro" w:hAnsi="Source Sans Pro"/>
          <w:sz w:val="22"/>
        </w:rPr>
      </w:pPr>
      <w:r w:rsidRPr="00D82AA2">
        <w:rPr>
          <w:rFonts w:ascii="Source Sans Pro" w:hAnsi="Source Sans Pro"/>
          <w:sz w:val="22"/>
        </w:rPr>
        <w:t>The equation of need and supply is wholly distorted by the flawed assessment</w:t>
      </w:r>
      <w:r w:rsidR="003E4411">
        <w:rPr>
          <w:rFonts w:ascii="Source Sans Pro" w:hAnsi="Source Sans Pro"/>
          <w:sz w:val="22"/>
        </w:rPr>
        <w:t>s</w:t>
      </w:r>
      <w:r w:rsidRPr="00D82AA2">
        <w:rPr>
          <w:rFonts w:ascii="Source Sans Pro" w:hAnsi="Source Sans Pro"/>
          <w:sz w:val="22"/>
        </w:rPr>
        <w:t xml:space="preserve"> of </w:t>
      </w:r>
      <w:r w:rsidR="003E4411">
        <w:rPr>
          <w:rFonts w:ascii="Source Sans Pro" w:hAnsi="Source Sans Pro"/>
          <w:sz w:val="22"/>
        </w:rPr>
        <w:t xml:space="preserve">both. </w:t>
      </w:r>
      <w:r w:rsidRPr="00D82AA2">
        <w:rPr>
          <w:rFonts w:ascii="Source Sans Pro" w:hAnsi="Source Sans Pro"/>
          <w:sz w:val="22"/>
        </w:rPr>
        <w:t>Instead of a surplus, JLL ha</w:t>
      </w:r>
      <w:r w:rsidR="003E4411">
        <w:rPr>
          <w:rFonts w:ascii="Source Sans Pro" w:hAnsi="Source Sans Pro"/>
          <w:sz w:val="22"/>
        </w:rPr>
        <w:t>s</w:t>
      </w:r>
      <w:r w:rsidRPr="00D82AA2">
        <w:rPr>
          <w:rFonts w:ascii="Source Sans Pro" w:hAnsi="Source Sans Pro"/>
          <w:sz w:val="22"/>
        </w:rPr>
        <w:t xml:space="preserve"> identified a quantitative shortfall of just over 90 hectare</w:t>
      </w:r>
      <w:r w:rsidR="00816F92">
        <w:rPr>
          <w:rFonts w:ascii="Source Sans Pro" w:hAnsi="Source Sans Pro"/>
          <w:sz w:val="22"/>
        </w:rPr>
        <w:t>s</w:t>
      </w:r>
      <w:r w:rsidRPr="00D82AA2">
        <w:rPr>
          <w:rFonts w:ascii="Source Sans Pro" w:hAnsi="Source Sans Pro"/>
          <w:sz w:val="22"/>
        </w:rPr>
        <w:t xml:space="preserve"> (with this taking into account </w:t>
      </w:r>
      <w:r w:rsidR="003E4411">
        <w:rPr>
          <w:rFonts w:ascii="Source Sans Pro" w:hAnsi="Source Sans Pro"/>
          <w:sz w:val="22"/>
        </w:rPr>
        <w:t xml:space="preserve">the </w:t>
      </w:r>
      <w:r w:rsidR="00256555">
        <w:rPr>
          <w:rFonts w:ascii="Source Sans Pro" w:hAnsi="Source Sans Pro"/>
          <w:sz w:val="22"/>
        </w:rPr>
        <w:t xml:space="preserve">maximum </w:t>
      </w:r>
      <w:r w:rsidRPr="00D82AA2">
        <w:rPr>
          <w:rFonts w:ascii="Source Sans Pro" w:hAnsi="Source Sans Pro"/>
          <w:sz w:val="22"/>
        </w:rPr>
        <w:t xml:space="preserve">contribution from WMI </w:t>
      </w:r>
      <w:r w:rsidR="00256555">
        <w:rPr>
          <w:rFonts w:ascii="Source Sans Pro" w:hAnsi="Source Sans Pro"/>
          <w:sz w:val="22"/>
        </w:rPr>
        <w:t xml:space="preserve">of </w:t>
      </w:r>
      <w:r w:rsidRPr="00D82AA2">
        <w:rPr>
          <w:rFonts w:ascii="Source Sans Pro" w:hAnsi="Source Sans Pro"/>
          <w:sz w:val="22"/>
        </w:rPr>
        <w:t xml:space="preserve">18.8 hectares).  </w:t>
      </w:r>
    </w:p>
    <w:p w14:paraId="1B73E78E" w14:textId="136A91CC" w:rsidR="00CE36C6" w:rsidRPr="00D82AA2" w:rsidRDefault="00CE36C6" w:rsidP="00CE36C6">
      <w:pPr>
        <w:pStyle w:val="ListParagraph"/>
        <w:numPr>
          <w:ilvl w:val="0"/>
          <w:numId w:val="39"/>
        </w:numPr>
        <w:spacing w:before="240"/>
        <w:ind w:hanging="720"/>
        <w:contextualSpacing w:val="0"/>
        <w:jc w:val="both"/>
        <w:rPr>
          <w:rFonts w:ascii="Source Sans Pro" w:hAnsi="Source Sans Pro"/>
          <w:sz w:val="22"/>
        </w:rPr>
      </w:pPr>
      <w:r w:rsidRPr="00D82AA2">
        <w:rPr>
          <w:rFonts w:ascii="Source Sans Pro" w:hAnsi="Source Sans Pro"/>
          <w:sz w:val="22"/>
        </w:rPr>
        <w:t xml:space="preserve">This shortfall is substantial, quantitatively, and requires the </w:t>
      </w:r>
      <w:r w:rsidR="003E4411">
        <w:rPr>
          <w:rFonts w:ascii="Source Sans Pro" w:hAnsi="Source Sans Pro"/>
          <w:sz w:val="22"/>
        </w:rPr>
        <w:t xml:space="preserve">immediate </w:t>
      </w:r>
      <w:r w:rsidRPr="00D82AA2">
        <w:rPr>
          <w:rFonts w:ascii="Source Sans Pro" w:hAnsi="Source Sans Pro"/>
          <w:sz w:val="22"/>
        </w:rPr>
        <w:t xml:space="preserve">identification of new sites to ensure </w:t>
      </w:r>
      <w:r w:rsidR="003E4411">
        <w:rPr>
          <w:rFonts w:ascii="Source Sans Pro" w:hAnsi="Source Sans Pro"/>
          <w:sz w:val="22"/>
        </w:rPr>
        <w:t xml:space="preserve">that </w:t>
      </w:r>
      <w:r w:rsidRPr="00D82AA2">
        <w:rPr>
          <w:rFonts w:ascii="Source Sans Pro" w:hAnsi="Source Sans Pro"/>
          <w:sz w:val="22"/>
        </w:rPr>
        <w:t>the employment land needs of the district are met.  Almost certainly, given the preponderance of the Green</w:t>
      </w:r>
      <w:r w:rsidR="00256555">
        <w:rPr>
          <w:rFonts w:ascii="Source Sans Pro" w:hAnsi="Source Sans Pro"/>
          <w:sz w:val="22"/>
        </w:rPr>
        <w:t xml:space="preserve"> B</w:t>
      </w:r>
      <w:r w:rsidRPr="00D82AA2">
        <w:rPr>
          <w:rFonts w:ascii="Source Sans Pro" w:hAnsi="Source Sans Pro"/>
          <w:sz w:val="22"/>
        </w:rPr>
        <w:t>elt in South Staffordshire, this will require the consideration of the release of Green</w:t>
      </w:r>
      <w:r w:rsidR="00256555">
        <w:rPr>
          <w:rFonts w:ascii="Source Sans Pro" w:hAnsi="Source Sans Pro"/>
          <w:sz w:val="22"/>
        </w:rPr>
        <w:t xml:space="preserve"> B</w:t>
      </w:r>
      <w:r w:rsidRPr="00D82AA2">
        <w:rPr>
          <w:rFonts w:ascii="Source Sans Pro" w:hAnsi="Source Sans Pro"/>
          <w:sz w:val="22"/>
        </w:rPr>
        <w:t xml:space="preserve">elt land.  </w:t>
      </w:r>
    </w:p>
    <w:p w14:paraId="4886E78F" w14:textId="03E57312" w:rsidR="00CE36C6" w:rsidRDefault="00CE36C6" w:rsidP="00CE36C6">
      <w:pPr>
        <w:pStyle w:val="ListParagraph"/>
        <w:numPr>
          <w:ilvl w:val="0"/>
          <w:numId w:val="39"/>
        </w:numPr>
        <w:spacing w:before="240"/>
        <w:ind w:hanging="720"/>
        <w:contextualSpacing w:val="0"/>
        <w:jc w:val="both"/>
        <w:rPr>
          <w:rFonts w:ascii="Source Sans Pro" w:hAnsi="Source Sans Pro"/>
          <w:sz w:val="22"/>
        </w:rPr>
      </w:pPr>
      <w:r w:rsidRPr="00D82AA2">
        <w:rPr>
          <w:rFonts w:ascii="Source Sans Pro" w:hAnsi="Source Sans Pro"/>
          <w:sz w:val="22"/>
        </w:rPr>
        <w:t>Qualitatively, the West Midlands Strategic Employment Site</w:t>
      </w:r>
      <w:r w:rsidR="00256555">
        <w:rPr>
          <w:rFonts w:ascii="Source Sans Pro" w:hAnsi="Source Sans Pro"/>
          <w:sz w:val="22"/>
        </w:rPr>
        <w:t>s</w:t>
      </w:r>
      <w:r w:rsidRPr="00D82AA2">
        <w:rPr>
          <w:rFonts w:ascii="Source Sans Pro" w:hAnsi="Source Sans Pro"/>
          <w:sz w:val="22"/>
        </w:rPr>
        <w:t xml:space="preserve"> Study identifies the need for a new strategic employment site(s) to be located within the Black Country and South Staffordshire.  This need has not been fulfilled and should be referred </w:t>
      </w:r>
      <w:r w:rsidR="001212FA">
        <w:rPr>
          <w:rFonts w:ascii="Source Sans Pro" w:hAnsi="Source Sans Pro"/>
          <w:sz w:val="22"/>
        </w:rPr>
        <w:t xml:space="preserve">to </w:t>
      </w:r>
      <w:r w:rsidRPr="00D82AA2">
        <w:rPr>
          <w:rFonts w:ascii="Source Sans Pro" w:hAnsi="Source Sans Pro"/>
          <w:sz w:val="22"/>
        </w:rPr>
        <w:t xml:space="preserve">expressly by </w:t>
      </w:r>
      <w:r w:rsidR="00256555">
        <w:rPr>
          <w:rFonts w:ascii="Source Sans Pro" w:hAnsi="Source Sans Pro"/>
          <w:sz w:val="22"/>
        </w:rPr>
        <w:t>P</w:t>
      </w:r>
      <w:r w:rsidRPr="00D82AA2">
        <w:rPr>
          <w:rFonts w:ascii="Source Sans Pro" w:hAnsi="Source Sans Pro"/>
          <w:sz w:val="22"/>
        </w:rPr>
        <w:t xml:space="preserve">olicy DS4.  This reference should also </w:t>
      </w:r>
      <w:r w:rsidR="001212FA">
        <w:rPr>
          <w:rFonts w:ascii="Source Sans Pro" w:hAnsi="Source Sans Pro"/>
          <w:sz w:val="22"/>
        </w:rPr>
        <w:t xml:space="preserve">highlight </w:t>
      </w:r>
      <w:r w:rsidRPr="00D82AA2">
        <w:rPr>
          <w:rFonts w:ascii="Source Sans Pro" w:hAnsi="Source Sans Pro"/>
          <w:sz w:val="22"/>
        </w:rPr>
        <w:t xml:space="preserve">the opportunities offered by the M54/M6 link road, for unlocking development potential for strategic employments sites.  </w:t>
      </w:r>
    </w:p>
    <w:p w14:paraId="7A6E42E5" w14:textId="77777777" w:rsidR="00CE36C6" w:rsidRDefault="00CE36C6" w:rsidP="00CE36C6">
      <w:pPr>
        <w:spacing w:after="120"/>
        <w:jc w:val="both"/>
        <w:rPr>
          <w:rFonts w:ascii="Source Sans Pro" w:hAnsi="Source Sans Pro"/>
          <w:sz w:val="22"/>
        </w:rPr>
      </w:pPr>
    </w:p>
    <w:p w14:paraId="7309453F" w14:textId="77777777" w:rsidR="00CE36C6" w:rsidRDefault="00CE36C6" w:rsidP="00CE36C6">
      <w:pPr>
        <w:spacing w:after="120" w:line="360" w:lineRule="auto"/>
        <w:jc w:val="both"/>
        <w:rPr>
          <w:rFonts w:ascii="Source Sans Pro" w:hAnsi="Source Sans Pro"/>
          <w:b/>
          <w:bCs/>
          <w:sz w:val="22"/>
        </w:rPr>
      </w:pPr>
      <w:r w:rsidRPr="00A61FA7">
        <w:rPr>
          <w:rFonts w:ascii="Source Sans Pro" w:hAnsi="Source Sans Pro"/>
          <w:b/>
          <w:bCs/>
          <w:sz w:val="22"/>
        </w:rPr>
        <w:t>PJL</w:t>
      </w:r>
    </w:p>
    <w:p w14:paraId="0F36DECB" w14:textId="67B538F4" w:rsidR="00624557" w:rsidRPr="00CE36C6" w:rsidRDefault="00CE36C6" w:rsidP="00256555">
      <w:pPr>
        <w:spacing w:after="120" w:line="360" w:lineRule="auto"/>
        <w:jc w:val="both"/>
      </w:pPr>
      <w:r>
        <w:rPr>
          <w:rFonts w:ascii="Source Sans Pro" w:hAnsi="Source Sans Pro"/>
          <w:b/>
          <w:bCs/>
          <w:sz w:val="22"/>
        </w:rPr>
        <w:t>JLL</w:t>
      </w:r>
      <w:r w:rsidRPr="00A61FA7">
        <w:rPr>
          <w:rFonts w:ascii="Source Sans Pro" w:hAnsi="Source Sans Pro"/>
          <w:b/>
          <w:bCs/>
          <w:sz w:val="22"/>
        </w:rPr>
        <w:br/>
      </w:r>
      <w:r>
        <w:rPr>
          <w:rFonts w:ascii="Source Sans Pro" w:hAnsi="Source Sans Pro"/>
          <w:b/>
          <w:bCs/>
          <w:sz w:val="22"/>
        </w:rPr>
        <w:t>1</w:t>
      </w:r>
      <w:r w:rsidR="003409EA">
        <w:rPr>
          <w:rFonts w:ascii="Source Sans Pro" w:hAnsi="Source Sans Pro"/>
          <w:b/>
          <w:bCs/>
          <w:sz w:val="22"/>
        </w:rPr>
        <w:t>9</w:t>
      </w:r>
      <w:r>
        <w:rPr>
          <w:rFonts w:ascii="Source Sans Pro" w:hAnsi="Source Sans Pro"/>
          <w:b/>
          <w:bCs/>
          <w:sz w:val="22"/>
        </w:rPr>
        <w:t xml:space="preserve"> December 2022 </w:t>
      </w:r>
    </w:p>
    <w:sectPr w:rsidR="00624557" w:rsidRPr="00CE36C6" w:rsidSect="007D4E6E">
      <w:headerReference w:type="even" r:id="rId15"/>
      <w:headerReference w:type="default" r:id="rId16"/>
      <w:footerReference w:type="even" r:id="rId17"/>
      <w:footerReference w:type="default" r:id="rId18"/>
      <w:headerReference w:type="first" r:id="rId19"/>
      <w:footerReference w:type="first" r:id="rId20"/>
      <w:pgSz w:w="11907" w:h="16839" w:code="9"/>
      <w:pgMar w:top="1440"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A9978" w14:textId="77777777" w:rsidR="009F0145" w:rsidRDefault="009F0145" w:rsidP="00A42B5D">
      <w:r>
        <w:separator/>
      </w:r>
    </w:p>
  </w:endnote>
  <w:endnote w:type="continuationSeparator" w:id="0">
    <w:p w14:paraId="1A847676" w14:textId="77777777" w:rsidR="009F0145" w:rsidRDefault="009F0145" w:rsidP="00A42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Arial"/>
    <w:panose1 w:val="020B0503030403020204"/>
    <w:charset w:val="00"/>
    <w:family w:val="swiss"/>
    <w:pitch w:val="variable"/>
    <w:sig w:usb0="20000287" w:usb1="00000001" w:usb2="00000000" w:usb3="00000000" w:csb0="0000019F" w:csb1="00000000"/>
  </w:font>
  <w:font w:name="Source Sans Pro SemiBold">
    <w:altName w:val="Arial"/>
    <w:panose1 w:val="020B0603030403020204"/>
    <w:charset w:val="00"/>
    <w:family w:val="swiss"/>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8411" w14:textId="77777777" w:rsidR="00D005B8" w:rsidRDefault="00D005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324964"/>
      <w:docPartObj>
        <w:docPartGallery w:val="Page Numbers (Bottom of Page)"/>
        <w:docPartUnique/>
      </w:docPartObj>
    </w:sdtPr>
    <w:sdtEndPr>
      <w:rPr>
        <w:noProof/>
      </w:rPr>
    </w:sdtEndPr>
    <w:sdtContent>
      <w:p w14:paraId="058A2FE2" w14:textId="53A8D4BB" w:rsidR="00D005B8" w:rsidRDefault="00D005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BD246D" w14:textId="77777777" w:rsidR="00D005B8" w:rsidRDefault="00D005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C25FE" w14:textId="77777777" w:rsidR="00D005B8" w:rsidRDefault="00D00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477A" w14:textId="77777777" w:rsidR="009F0145" w:rsidRDefault="009F0145" w:rsidP="00A42B5D">
      <w:r>
        <w:separator/>
      </w:r>
    </w:p>
  </w:footnote>
  <w:footnote w:type="continuationSeparator" w:id="0">
    <w:p w14:paraId="29630782" w14:textId="77777777" w:rsidR="009F0145" w:rsidRDefault="009F0145" w:rsidP="00A42B5D">
      <w:r>
        <w:continuationSeparator/>
      </w:r>
    </w:p>
  </w:footnote>
  <w:footnote w:id="1">
    <w:p w14:paraId="6B9A4515" w14:textId="49401CB3" w:rsidR="00CE36C6" w:rsidRDefault="00CE36C6" w:rsidP="00CE36C6">
      <w:pPr>
        <w:pStyle w:val="FootnoteText"/>
      </w:pPr>
      <w:r>
        <w:rPr>
          <w:rStyle w:val="FootnoteReference"/>
        </w:rPr>
        <w:footnoteRef/>
      </w:r>
      <w:r>
        <w:t xml:space="preserve"> </w:t>
      </w:r>
      <w:hyperlink r:id="rId1" w:history="1">
        <w:r w:rsidR="00E83BC2" w:rsidRPr="0058576A">
          <w:rPr>
            <w:rStyle w:val="Hyperlink"/>
          </w:rPr>
          <w:t>https://www.staffordbc.gov.uk/housing-and-employment-land-requirement-topic-paper</w:t>
        </w:r>
      </w:hyperlink>
      <w:r>
        <w:t xml:space="preserve"> </w:t>
      </w:r>
    </w:p>
  </w:footnote>
  <w:footnote w:id="2">
    <w:p w14:paraId="185935B6" w14:textId="5FA052B3" w:rsidR="00CE36C6" w:rsidRDefault="00CE36C6" w:rsidP="00CE36C6">
      <w:pPr>
        <w:pStyle w:val="FootnoteText"/>
      </w:pPr>
      <w:r>
        <w:rPr>
          <w:rStyle w:val="FootnoteReference"/>
        </w:rPr>
        <w:footnoteRef/>
      </w:r>
      <w:r>
        <w:t xml:space="preserve"> </w:t>
      </w:r>
      <w:hyperlink r:id="rId2" w:history="1">
        <w:r w:rsidR="00E83BC2" w:rsidRPr="0058576A">
          <w:rPr>
            <w:rStyle w:val="Hyperlink"/>
          </w:rPr>
          <w:t>https://bpf.org.uk/our-work/research-and-briefings/levelling-up-the-logic-of-logistics/</w:t>
        </w:r>
      </w:hyperlink>
    </w:p>
  </w:footnote>
  <w:footnote w:id="3">
    <w:p w14:paraId="316E3CFE" w14:textId="0B13565B" w:rsidR="00CE36C6" w:rsidRDefault="00CE36C6" w:rsidP="00CE36C6">
      <w:pPr>
        <w:pStyle w:val="FootnoteText"/>
      </w:pPr>
      <w:r>
        <w:rPr>
          <w:rStyle w:val="FootnoteReference"/>
        </w:rPr>
        <w:footnoteRef/>
      </w:r>
      <w:r>
        <w:t xml:space="preserve"> </w:t>
      </w:r>
      <w:hyperlink r:id="rId3" w:history="1">
        <w:r w:rsidR="00E83BC2" w:rsidRPr="0058576A">
          <w:rPr>
            <w:rStyle w:val="Hyperlink"/>
          </w:rPr>
          <w:t>https://www.sstaffs.gov.uk/doc/179829/name/APP2%20SAD%20September%202018%20FINAL.pdf/</w:t>
        </w:r>
      </w:hyperlink>
      <w:r w:rsidR="00E83BC2">
        <w:t xml:space="preserve"> </w:t>
      </w:r>
      <w:r>
        <w:t xml:space="preserve"> </w:t>
      </w:r>
    </w:p>
  </w:footnote>
  <w:footnote w:id="4">
    <w:p w14:paraId="491D3DC4" w14:textId="6D63B8CE" w:rsidR="00E607C7" w:rsidRDefault="00E607C7">
      <w:pPr>
        <w:pStyle w:val="FootnoteText"/>
      </w:pPr>
      <w:r>
        <w:rPr>
          <w:rStyle w:val="FootnoteReference"/>
        </w:rPr>
        <w:footnoteRef/>
      </w:r>
      <w:r>
        <w:t xml:space="preserve"> </w:t>
      </w:r>
      <w:hyperlink r:id="rId4" w:history="1">
        <w:r w:rsidRPr="0058576A">
          <w:rPr>
            <w:rStyle w:val="Hyperlink"/>
          </w:rPr>
          <w:t>https://www.sstaffs.gov.uk/doc/183914/name/SFRI%20apportioning%20the%20land.pdf/</w:t>
        </w:r>
      </w:hyperlink>
    </w:p>
  </w:footnote>
  <w:footnote w:id="5">
    <w:p w14:paraId="65B5AFCE" w14:textId="28C73437" w:rsidR="005668E6" w:rsidRDefault="005668E6">
      <w:pPr>
        <w:pStyle w:val="FootnoteText"/>
      </w:pPr>
      <w:r>
        <w:rPr>
          <w:rStyle w:val="FootnoteReference"/>
        </w:rPr>
        <w:footnoteRef/>
      </w:r>
      <w:r>
        <w:t xml:space="preserve"> </w:t>
      </w:r>
      <w:hyperlink r:id="rId5" w:history="1">
        <w:r w:rsidRPr="00714FB2">
          <w:rPr>
            <w:rStyle w:val="Hyperlink"/>
          </w:rPr>
          <w:t>https://assets.publishing.service.gov.uk/government/uploads/system/uploads/attachment_data/file/1085917/future-of-freight-plan.pdf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4307" w14:textId="77777777" w:rsidR="00D005B8" w:rsidRDefault="00D005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83643" w14:textId="2551AF61" w:rsidR="00E4497F" w:rsidRDefault="00547457">
    <w:pPr>
      <w:pStyle w:val="Header"/>
    </w:pPr>
    <w:r>
      <w:rPr>
        <w:noProof/>
      </w:rPr>
      <w:drawing>
        <wp:anchor distT="0" distB="0" distL="114300" distR="114300" simplePos="0" relativeHeight="251660288" behindDoc="0" locked="1" layoutInCell="1" allowOverlap="1" wp14:anchorId="5F44CCAF" wp14:editId="2E417C90">
          <wp:simplePos x="0" y="0"/>
          <wp:positionH relativeFrom="margin">
            <wp:align>right</wp:align>
          </wp:positionH>
          <wp:positionV relativeFrom="page">
            <wp:posOffset>517525</wp:posOffset>
          </wp:positionV>
          <wp:extent cx="1313815" cy="577215"/>
          <wp:effectExtent l="0" t="0" r="635" b="0"/>
          <wp:wrapNone/>
          <wp:docPr id="26" name="shpFPLogo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hpFPLogoPositive"/>
                  <pic:cNvPicPr/>
                </pic:nvPicPr>
                <pic:blipFill rotWithShape="1">
                  <a:blip r:embed="rId1">
                    <a:extLst>
                      <a:ext uri="{28A0092B-C50C-407E-A947-70E740481C1C}">
                        <a14:useLocalDpi xmlns:a14="http://schemas.microsoft.com/office/drawing/2010/main" val="0"/>
                      </a:ext>
                    </a:extLst>
                  </a:blip>
                  <a:srcRect l="10676" t="22647" r="12887" b="22816"/>
                  <a:stretch/>
                </pic:blipFill>
                <pic:spPr bwMode="auto">
                  <a:xfrm>
                    <a:off x="0" y="0"/>
                    <a:ext cx="1313815" cy="577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6B5953" w14:textId="714E964C" w:rsidR="00E4497F" w:rsidRDefault="00E4497F">
    <w:pPr>
      <w:pStyle w:val="Header"/>
    </w:pPr>
  </w:p>
  <w:p w14:paraId="6EE8D6F2" w14:textId="758AED22" w:rsidR="00E4497F" w:rsidRDefault="00E4497F">
    <w:pPr>
      <w:pStyle w:val="Header"/>
    </w:pPr>
  </w:p>
  <w:p w14:paraId="6DB82EDB" w14:textId="4DEA6AFD" w:rsidR="00E4497F" w:rsidRDefault="00E4497F">
    <w:pPr>
      <w:pStyle w:val="Header"/>
    </w:pPr>
  </w:p>
  <w:p w14:paraId="35174740" w14:textId="77777777" w:rsidR="00E4497F" w:rsidRDefault="00E449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BF468" w14:textId="77777777" w:rsidR="00D005B8" w:rsidRDefault="00D005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BFA25D2"/>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D8C2287A"/>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EA62631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1E33DC"/>
    <w:multiLevelType w:val="hybridMultilevel"/>
    <w:tmpl w:val="99D63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8B2758"/>
    <w:multiLevelType w:val="multilevel"/>
    <w:tmpl w:val="0809001F"/>
    <w:numStyleLink w:val="Style2"/>
  </w:abstractNum>
  <w:abstractNum w:abstractNumId="5" w15:restartNumberingAfterBreak="0">
    <w:nsid w:val="08832B72"/>
    <w:multiLevelType w:val="multilevel"/>
    <w:tmpl w:val="F62A29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B8B03FC"/>
    <w:multiLevelType w:val="hybridMultilevel"/>
    <w:tmpl w:val="118EF1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27676A5"/>
    <w:multiLevelType w:val="multilevel"/>
    <w:tmpl w:val="982669B4"/>
    <w:styleLink w:val="TFTPhotographCaptionList"/>
    <w:lvl w:ilvl="0">
      <w:start w:val="1"/>
      <w:numFmt w:val="decimal"/>
      <w:pStyle w:val="PhotographCaption"/>
      <w:suff w:val="space"/>
      <w:lvlText w:val="Photo %1:"/>
      <w:lvlJc w:val="left"/>
      <w:pPr>
        <w:ind w:left="0" w:firstLine="0"/>
      </w:pPr>
      <w:rPr>
        <w:rFonts w:hint="default"/>
        <w:b/>
        <w:i w:val="0"/>
        <w:caps w:val="0"/>
        <w:color w:val="783CBD"/>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40A4351"/>
    <w:multiLevelType w:val="hybridMultilevel"/>
    <w:tmpl w:val="D9BEE4EC"/>
    <w:lvl w:ilvl="0" w:tplc="76A04734">
      <w:start w:val="1"/>
      <w:numFmt w:val="bullet"/>
      <w:lvlText w:val=""/>
      <w:lvlJc w:val="left"/>
      <w:pPr>
        <w:ind w:left="1457" w:hanging="360"/>
      </w:pPr>
      <w:rPr>
        <w:rFonts w:ascii="Symbol" w:hAnsi="Symbol" w:hint="default"/>
        <w:color w:val="783CBD"/>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9" w15:restartNumberingAfterBreak="0">
    <w:nsid w:val="244D4C9D"/>
    <w:multiLevelType w:val="multilevel"/>
    <w:tmpl w:val="370AE28A"/>
    <w:styleLink w:val="TFTEnquiryBullets"/>
    <w:lvl w:ilvl="0">
      <w:start w:val="1"/>
      <w:numFmt w:val="decimal"/>
      <w:pStyle w:val="EnquiryBullet"/>
      <w:lvlText w:val="E%1."/>
      <w:lvlJc w:val="left"/>
      <w:pPr>
        <w:tabs>
          <w:tab w:val="num" w:pos="737"/>
        </w:tabs>
        <w:ind w:left="737" w:hanging="737"/>
      </w:pPr>
      <w:rPr>
        <w:rFonts w:hint="default"/>
        <w:b/>
        <w:i w:val="0"/>
        <w:color w:val="783CBD"/>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CAA3EB1"/>
    <w:multiLevelType w:val="multilevel"/>
    <w:tmpl w:val="0809001F"/>
    <w:styleLink w:val="Style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8010FF"/>
    <w:multiLevelType w:val="multilevel"/>
    <w:tmpl w:val="7F882BFE"/>
    <w:styleLink w:val="TFTTOC1"/>
    <w:lvl w:ilvl="0">
      <w:start w:val="1"/>
      <w:numFmt w:val="decimal"/>
      <w:pStyle w:val="TOC1"/>
      <w:lvlText w:val="%1"/>
      <w:lvlJc w:val="left"/>
      <w:pPr>
        <w:tabs>
          <w:tab w:val="num" w:pos="567"/>
        </w:tabs>
        <w:ind w:left="567" w:hanging="567"/>
      </w:pPr>
      <w:rPr>
        <w:rFonts w:ascii="Arial Bold" w:hAnsi="Arial Bold" w:hint="default"/>
        <w:b/>
        <w:i w:val="0"/>
        <w:color w:val="783CBD"/>
        <w:sz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DF1529"/>
    <w:multiLevelType w:val="multilevel"/>
    <w:tmpl w:val="174035B2"/>
    <w:lvl w:ilvl="0">
      <w:start w:val="1"/>
      <w:numFmt w:val="decimal"/>
      <w:suff w:val="nothing"/>
      <w:lvlText w:val="%1"/>
      <w:lvlJc w:val="left"/>
      <w:pPr>
        <w:ind w:left="0" w:firstLine="0"/>
      </w:pPr>
      <w:rPr>
        <w:rFonts w:hint="default"/>
        <w:vanish/>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lvlText w:val="%1.%4"/>
      <w:lvlJc w:val="left"/>
      <w:pPr>
        <w:tabs>
          <w:tab w:val="num" w:pos="737"/>
        </w:tabs>
        <w:ind w:left="737" w:hanging="737"/>
      </w:pPr>
      <w:rPr>
        <w:rFonts w:hint="default"/>
      </w:rPr>
    </w:lvl>
    <w:lvl w:ilvl="4">
      <w:start w:val="1"/>
      <w:numFmt w:val="bullet"/>
      <w:lvlText w:val=""/>
      <w:lvlJc w:val="left"/>
      <w:pPr>
        <w:tabs>
          <w:tab w:val="num" w:pos="737"/>
        </w:tabs>
        <w:ind w:left="737" w:hanging="737"/>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DA04AA"/>
    <w:multiLevelType w:val="multilevel"/>
    <w:tmpl w:val="A32E87F2"/>
    <w:styleLink w:val="TFTNumbers"/>
    <w:lvl w:ilvl="0">
      <w:start w:val="1"/>
      <w:numFmt w:val="decimal"/>
      <w:pStyle w:val="ListNumber"/>
      <w:lvlText w:val="%1."/>
      <w:lvlJc w:val="left"/>
      <w:pPr>
        <w:tabs>
          <w:tab w:val="num" w:pos="737"/>
        </w:tabs>
        <w:ind w:left="737" w:hanging="737"/>
      </w:pPr>
      <w:rPr>
        <w:rFonts w:hint="default"/>
        <w:b/>
        <w:i w:val="0"/>
        <w:color w:val="783CBD"/>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6131C4B"/>
    <w:multiLevelType w:val="multilevel"/>
    <w:tmpl w:val="0809001F"/>
    <w:numStyleLink w:val="Style4"/>
  </w:abstractNum>
  <w:abstractNum w:abstractNumId="15" w15:restartNumberingAfterBreak="0">
    <w:nsid w:val="4B3F77EC"/>
    <w:multiLevelType w:val="multilevel"/>
    <w:tmpl w:val="0809001F"/>
    <w:numStyleLink w:val="Style1"/>
  </w:abstractNum>
  <w:abstractNum w:abstractNumId="16" w15:restartNumberingAfterBreak="0">
    <w:nsid w:val="4E031A58"/>
    <w:multiLevelType w:val="multilevel"/>
    <w:tmpl w:val="7F882BFE"/>
    <w:numStyleLink w:val="TFTTOC1"/>
  </w:abstractNum>
  <w:abstractNum w:abstractNumId="17" w15:restartNumberingAfterBreak="0">
    <w:nsid w:val="4E84766C"/>
    <w:multiLevelType w:val="multilevel"/>
    <w:tmpl w:val="2D2EA160"/>
    <w:lvl w:ilvl="0">
      <w:start w:val="1"/>
      <w:numFmt w:val="bullet"/>
      <w:lvlText w:val=""/>
      <w:lvlJc w:val="left"/>
      <w:pPr>
        <w:tabs>
          <w:tab w:val="num" w:pos="284"/>
        </w:tabs>
        <w:ind w:left="284" w:hanging="284"/>
      </w:pPr>
      <w:rPr>
        <w:rFonts w:ascii="Symbol" w:hAnsi="Symbol" w:hint="default"/>
        <w:b w:val="0"/>
        <w:i w:val="0"/>
        <w:caps w:val="0"/>
        <w:strike w:val="0"/>
        <w:dstrike w:val="0"/>
        <w:vanish w:val="0"/>
        <w:color w:val="783CBD"/>
        <w:spacing w:val="0"/>
        <w:w w:val="100"/>
        <w:kern w:val="0"/>
        <w:position w:val="0"/>
        <w:sz w:val="18"/>
        <w:u w:val="none"/>
        <w:effect w:val="none"/>
        <w:vertAlign w:val="baseline"/>
      </w:rPr>
    </w:lvl>
    <w:lvl w:ilvl="1">
      <w:start w:val="1"/>
      <w:numFmt w:val="bullet"/>
      <w:lvlText w:val=""/>
      <w:lvlJc w:val="left"/>
      <w:pPr>
        <w:tabs>
          <w:tab w:val="num" w:pos="567"/>
        </w:tabs>
        <w:ind w:left="568" w:hanging="284"/>
      </w:pPr>
      <w:rPr>
        <w:rFonts w:ascii="Symbol" w:hAnsi="Symbol" w:hint="default"/>
        <w:color w:val="auto"/>
      </w:rPr>
    </w:lvl>
    <w:lvl w:ilvl="2">
      <w:start w:val="1"/>
      <w:numFmt w:val="bullet"/>
      <w:lvlText w:val=""/>
      <w:lvlJc w:val="left"/>
      <w:pPr>
        <w:tabs>
          <w:tab w:val="num" w:pos="851"/>
        </w:tabs>
        <w:ind w:left="852" w:hanging="284"/>
      </w:pPr>
      <w:rPr>
        <w:rFonts w:ascii="Symbol" w:hAnsi="Symbol" w:hint="default"/>
        <w:color w:val="auto"/>
      </w:rPr>
    </w:lvl>
    <w:lvl w:ilvl="3">
      <w:start w:val="1"/>
      <w:numFmt w:val="bullet"/>
      <w:lvlText w:val=""/>
      <w:lvlJc w:val="left"/>
      <w:pPr>
        <w:tabs>
          <w:tab w:val="num" w:pos="1134"/>
        </w:tabs>
        <w:ind w:left="1136" w:hanging="284"/>
      </w:pPr>
      <w:rPr>
        <w:rFonts w:ascii="Symbol" w:hAnsi="Symbol" w:hint="default"/>
        <w:color w:val="auto"/>
      </w:rPr>
    </w:lvl>
    <w:lvl w:ilvl="4">
      <w:start w:val="1"/>
      <w:numFmt w:val="bullet"/>
      <w:lvlText w:val=""/>
      <w:lvlJc w:val="left"/>
      <w:pPr>
        <w:tabs>
          <w:tab w:val="num" w:pos="1418"/>
        </w:tabs>
        <w:ind w:left="1420" w:hanging="284"/>
      </w:pPr>
      <w:rPr>
        <w:rFonts w:ascii="Symbol" w:hAnsi="Symbol" w:hint="default"/>
        <w:color w:val="auto"/>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50C83F27"/>
    <w:multiLevelType w:val="hybridMultilevel"/>
    <w:tmpl w:val="1A2C6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F456BF"/>
    <w:multiLevelType w:val="multilevel"/>
    <w:tmpl w:val="A60C9418"/>
    <w:styleLink w:val="TFTConditionReportBullets"/>
    <w:lvl w:ilvl="0">
      <w:start w:val="1"/>
      <w:numFmt w:val="bullet"/>
      <w:pStyle w:val="ConditionReportBullet"/>
      <w:lvlText w:val=""/>
      <w:lvlJc w:val="left"/>
      <w:pPr>
        <w:tabs>
          <w:tab w:val="num" w:pos="1452"/>
        </w:tabs>
        <w:ind w:left="1452" w:hanging="358"/>
      </w:pPr>
      <w:rPr>
        <w:rFonts w:ascii="Symbol" w:hAnsi="Symbol" w:hint="default"/>
        <w:color w:val="783CBD"/>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3233281"/>
    <w:multiLevelType w:val="multilevel"/>
    <w:tmpl w:val="923202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3913366"/>
    <w:multiLevelType w:val="hybridMultilevel"/>
    <w:tmpl w:val="37C4AE0E"/>
    <w:lvl w:ilvl="0" w:tplc="84D8D1C8">
      <w:start w:val="1"/>
      <w:numFmt w:val="bullet"/>
      <w:pStyle w:val="BulletOneNoSpaceAfterJLL"/>
      <w:lvlText w:val="■"/>
      <w:lvlJc w:val="left"/>
      <w:pPr>
        <w:ind w:left="720" w:hanging="360"/>
      </w:pPr>
      <w:rPr>
        <w:rFonts w:ascii="Arial" w:hAnsi="Arial" w:hint="default"/>
        <w:color w:val="D519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434785"/>
    <w:multiLevelType w:val="multilevel"/>
    <w:tmpl w:val="0809001F"/>
    <w:styleLink w:val="Style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5369BA"/>
    <w:multiLevelType w:val="hybridMultilevel"/>
    <w:tmpl w:val="C39A9F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973B77"/>
    <w:multiLevelType w:val="hybridMultilevel"/>
    <w:tmpl w:val="1124F0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6691607"/>
    <w:multiLevelType w:val="multilevel"/>
    <w:tmpl w:val="08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74337CC"/>
    <w:multiLevelType w:val="multilevel"/>
    <w:tmpl w:val="AEEE77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CCF0BF2"/>
    <w:multiLevelType w:val="multilevel"/>
    <w:tmpl w:val="1132025A"/>
    <w:styleLink w:val="TFTBullets"/>
    <w:lvl w:ilvl="0">
      <w:start w:val="1"/>
      <w:numFmt w:val="bullet"/>
      <w:pStyle w:val="ListBullet"/>
      <w:lvlText w:val=""/>
      <w:lvlJc w:val="left"/>
      <w:pPr>
        <w:tabs>
          <w:tab w:val="num" w:pos="284"/>
        </w:tabs>
        <w:ind w:left="284" w:hanging="284"/>
      </w:pPr>
      <w:rPr>
        <w:rFonts w:ascii="Symbol" w:hAnsi="Symbol" w:hint="default"/>
        <w:b/>
        <w:i w:val="0"/>
        <w:color w:val="783CBD"/>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color w:val="auto"/>
      </w:rPr>
    </w:lvl>
    <w:lvl w:ilvl="3">
      <w:start w:val="1"/>
      <w:numFmt w:val="decimal"/>
      <w:lvlText w:val="(%4)"/>
      <w:lvlJc w:val="left"/>
      <w:pPr>
        <w:ind w:left="1440" w:hanging="360"/>
      </w:pPr>
      <w:rPr>
        <w:rFonts w:hint="default"/>
        <w:color w:val="auto"/>
      </w:rPr>
    </w:lvl>
    <w:lvl w:ilvl="4">
      <w:start w:val="1"/>
      <w:numFmt w:val="lowerLetter"/>
      <w:lvlText w:val="(%5)"/>
      <w:lvlJc w:val="left"/>
      <w:pPr>
        <w:ind w:left="1800" w:hanging="360"/>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CF1222B"/>
    <w:multiLevelType w:val="hybridMultilevel"/>
    <w:tmpl w:val="F3D02FDC"/>
    <w:lvl w:ilvl="0" w:tplc="76A04734">
      <w:start w:val="1"/>
      <w:numFmt w:val="bullet"/>
      <w:lvlText w:val=""/>
      <w:lvlJc w:val="left"/>
      <w:pPr>
        <w:ind w:left="720" w:hanging="360"/>
      </w:pPr>
      <w:rPr>
        <w:rFonts w:ascii="Symbol" w:hAnsi="Symbol" w:hint="default"/>
        <w:color w:val="783CBD"/>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AD2C9D"/>
    <w:multiLevelType w:val="hybridMultilevel"/>
    <w:tmpl w:val="85A45FAE"/>
    <w:lvl w:ilvl="0" w:tplc="1F9601D0">
      <w:start w:val="1"/>
      <w:numFmt w:val="bullet"/>
      <w:lvlText w:val=""/>
      <w:lvlJc w:val="left"/>
      <w:pPr>
        <w:ind w:left="1457" w:hanging="360"/>
      </w:pPr>
      <w:rPr>
        <w:rFonts w:ascii="Wingdings" w:hAnsi="Wingdings" w:hint="default"/>
        <w:color w:val="8A78B6"/>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0" w15:restartNumberingAfterBreak="0">
    <w:nsid w:val="736B15DA"/>
    <w:multiLevelType w:val="hybridMultilevel"/>
    <w:tmpl w:val="595A49FC"/>
    <w:lvl w:ilvl="0" w:tplc="F2506EC6">
      <w:start w:val="1"/>
      <w:numFmt w:val="bullet"/>
      <w:lvlText w:val="■"/>
      <w:lvlJc w:val="left"/>
      <w:pPr>
        <w:ind w:left="360" w:hanging="360"/>
      </w:pPr>
      <w:rPr>
        <w:rFonts w:ascii="Arial" w:hAnsi="Arial" w:hint="default"/>
        <w:color w:val="C00000"/>
      </w:rPr>
    </w:lvl>
    <w:lvl w:ilvl="1" w:tplc="63342DC2" w:tentative="1">
      <w:start w:val="1"/>
      <w:numFmt w:val="bullet"/>
      <w:lvlText w:val="o"/>
      <w:lvlJc w:val="left"/>
      <w:pPr>
        <w:ind w:left="1440" w:hanging="360"/>
      </w:pPr>
      <w:rPr>
        <w:rFonts w:ascii="Courier New" w:hAnsi="Courier New" w:cs="Courier New" w:hint="default"/>
      </w:rPr>
    </w:lvl>
    <w:lvl w:ilvl="2" w:tplc="EFCE7BDC" w:tentative="1">
      <w:start w:val="1"/>
      <w:numFmt w:val="bullet"/>
      <w:lvlText w:val=""/>
      <w:lvlJc w:val="left"/>
      <w:pPr>
        <w:ind w:left="2160" w:hanging="360"/>
      </w:pPr>
      <w:rPr>
        <w:rFonts w:ascii="Wingdings" w:hAnsi="Wingdings" w:hint="default"/>
      </w:rPr>
    </w:lvl>
    <w:lvl w:ilvl="3" w:tplc="47FA91C8" w:tentative="1">
      <w:start w:val="1"/>
      <w:numFmt w:val="bullet"/>
      <w:lvlText w:val=""/>
      <w:lvlJc w:val="left"/>
      <w:pPr>
        <w:ind w:left="2880" w:hanging="360"/>
      </w:pPr>
      <w:rPr>
        <w:rFonts w:ascii="Symbol" w:hAnsi="Symbol" w:hint="default"/>
      </w:rPr>
    </w:lvl>
    <w:lvl w:ilvl="4" w:tplc="3460D904" w:tentative="1">
      <w:start w:val="1"/>
      <w:numFmt w:val="bullet"/>
      <w:lvlText w:val="o"/>
      <w:lvlJc w:val="left"/>
      <w:pPr>
        <w:ind w:left="3600" w:hanging="360"/>
      </w:pPr>
      <w:rPr>
        <w:rFonts w:ascii="Courier New" w:hAnsi="Courier New" w:cs="Courier New" w:hint="default"/>
      </w:rPr>
    </w:lvl>
    <w:lvl w:ilvl="5" w:tplc="0A640DAC" w:tentative="1">
      <w:start w:val="1"/>
      <w:numFmt w:val="bullet"/>
      <w:lvlText w:val=""/>
      <w:lvlJc w:val="left"/>
      <w:pPr>
        <w:ind w:left="4320" w:hanging="360"/>
      </w:pPr>
      <w:rPr>
        <w:rFonts w:ascii="Wingdings" w:hAnsi="Wingdings" w:hint="default"/>
      </w:rPr>
    </w:lvl>
    <w:lvl w:ilvl="6" w:tplc="DA22ED9C" w:tentative="1">
      <w:start w:val="1"/>
      <w:numFmt w:val="bullet"/>
      <w:lvlText w:val=""/>
      <w:lvlJc w:val="left"/>
      <w:pPr>
        <w:ind w:left="5040" w:hanging="360"/>
      </w:pPr>
      <w:rPr>
        <w:rFonts w:ascii="Symbol" w:hAnsi="Symbol" w:hint="default"/>
      </w:rPr>
    </w:lvl>
    <w:lvl w:ilvl="7" w:tplc="28B06D8E" w:tentative="1">
      <w:start w:val="1"/>
      <w:numFmt w:val="bullet"/>
      <w:lvlText w:val="o"/>
      <w:lvlJc w:val="left"/>
      <w:pPr>
        <w:ind w:left="5760" w:hanging="360"/>
      </w:pPr>
      <w:rPr>
        <w:rFonts w:ascii="Courier New" w:hAnsi="Courier New" w:cs="Courier New" w:hint="default"/>
      </w:rPr>
    </w:lvl>
    <w:lvl w:ilvl="8" w:tplc="5780372E" w:tentative="1">
      <w:start w:val="1"/>
      <w:numFmt w:val="bullet"/>
      <w:lvlText w:val=""/>
      <w:lvlJc w:val="left"/>
      <w:pPr>
        <w:ind w:left="6480" w:hanging="360"/>
      </w:pPr>
      <w:rPr>
        <w:rFonts w:ascii="Wingdings" w:hAnsi="Wingdings" w:hint="default"/>
      </w:rPr>
    </w:lvl>
  </w:abstractNum>
  <w:abstractNum w:abstractNumId="31" w15:restartNumberingAfterBreak="0">
    <w:nsid w:val="788434BC"/>
    <w:multiLevelType w:val="hybridMultilevel"/>
    <w:tmpl w:val="62E2D2DE"/>
    <w:lvl w:ilvl="0" w:tplc="064E2AD8">
      <w:start w:val="1"/>
      <w:numFmt w:val="bullet"/>
      <w:lvlText w:val="■"/>
      <w:lvlJc w:val="left"/>
      <w:pPr>
        <w:ind w:left="360" w:hanging="360"/>
      </w:pPr>
      <w:rPr>
        <w:rFonts w:ascii="Arial" w:hAnsi="Arial" w:hint="default"/>
        <w:color w:val="E3061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472456"/>
    <w:multiLevelType w:val="hybridMultilevel"/>
    <w:tmpl w:val="62DE7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FA6F00"/>
    <w:multiLevelType w:val="multilevel"/>
    <w:tmpl w:val="2BC0C4A4"/>
    <w:styleLink w:val="TFTNumberedHeadings"/>
    <w:lvl w:ilvl="0">
      <w:start w:val="1"/>
      <w:numFmt w:val="decimal"/>
      <w:pStyle w:val="Heading1"/>
      <w:suff w:val="nothing"/>
      <w:lvlText w:val="%1"/>
      <w:lvlJc w:val="left"/>
      <w:pPr>
        <w:ind w:left="0" w:firstLine="0"/>
      </w:pPr>
      <w:rPr>
        <w:rFonts w:hint="default"/>
        <w:vanish/>
      </w:rPr>
    </w:lvl>
    <w:lvl w:ilvl="1">
      <w:start w:val="1"/>
      <w:numFmt w:val="decimal"/>
      <w:pStyle w:val="Heading2"/>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ConditionReportHeading"/>
      <w:lvlText w:val="%1.%4"/>
      <w:lvlJc w:val="left"/>
      <w:pPr>
        <w:tabs>
          <w:tab w:val="num" w:pos="737"/>
        </w:tabs>
        <w:ind w:left="737" w:hanging="737"/>
      </w:pPr>
      <w:rPr>
        <w:rFonts w:hint="default"/>
      </w:rPr>
    </w:lvl>
    <w:lvl w:ilvl="4">
      <w:start w:val="1"/>
      <w:numFmt w:val="decimal"/>
      <w:pStyle w:val="ConditionReportText"/>
      <w:lvlText w:val="%1.%4.%5"/>
      <w:lvlJc w:val="left"/>
      <w:pPr>
        <w:tabs>
          <w:tab w:val="num" w:pos="737"/>
        </w:tabs>
        <w:ind w:left="737" w:hanging="73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DBC5936"/>
    <w:multiLevelType w:val="hybridMultilevel"/>
    <w:tmpl w:val="5DE48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27"/>
  </w:num>
  <w:num w:numId="3">
    <w:abstractNumId w:val="9"/>
    <w:lvlOverride w:ilvl="0">
      <w:lvl w:ilvl="0">
        <w:start w:val="1"/>
        <w:numFmt w:val="decimal"/>
        <w:pStyle w:val="EnquiryBullet"/>
        <w:lvlText w:val="E%1."/>
        <w:lvlJc w:val="left"/>
        <w:pPr>
          <w:tabs>
            <w:tab w:val="num" w:pos="737"/>
          </w:tabs>
          <w:ind w:left="737" w:hanging="737"/>
        </w:pPr>
        <w:rPr>
          <w:rFonts w:hint="default"/>
          <w:b/>
          <w:i w:val="0"/>
          <w:color w:val="783CBD"/>
        </w:rPr>
      </w:lvl>
    </w:lvlOverride>
  </w:num>
  <w:num w:numId="4">
    <w:abstractNumId w:val="7"/>
    <w:lvlOverride w:ilvl="0">
      <w:lvl w:ilvl="0">
        <w:start w:val="1"/>
        <w:numFmt w:val="decimal"/>
        <w:pStyle w:val="PhotographCaption"/>
        <w:suff w:val="space"/>
        <w:lvlText w:val="Photograph %1:"/>
        <w:lvlJc w:val="left"/>
        <w:pPr>
          <w:ind w:left="0" w:firstLine="0"/>
        </w:pPr>
        <w:rPr>
          <w:b/>
          <w:i w:val="0"/>
          <w:caps/>
          <w:color w:val="783CBD"/>
        </w:rPr>
      </w:lvl>
    </w:lvlOverride>
  </w:num>
  <w:num w:numId="5">
    <w:abstractNumId w:val="17"/>
  </w:num>
  <w:num w:numId="6">
    <w:abstractNumId w:val="7"/>
  </w:num>
  <w:num w:numId="7">
    <w:abstractNumId w:val="13"/>
    <w:lvlOverride w:ilvl="0">
      <w:lvl w:ilvl="0">
        <w:start w:val="1"/>
        <w:numFmt w:val="decimal"/>
        <w:pStyle w:val="ListNumber"/>
        <w:lvlText w:val="%1."/>
        <w:lvlJc w:val="left"/>
        <w:pPr>
          <w:tabs>
            <w:tab w:val="num" w:pos="737"/>
          </w:tabs>
          <w:ind w:left="737" w:hanging="737"/>
        </w:pPr>
        <w:rPr>
          <w:rFonts w:hint="default"/>
          <w:b/>
          <w:i w:val="0"/>
          <w:color w:val="783CBD"/>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33"/>
    <w:lvlOverride w:ilvl="0">
      <w:lvl w:ilvl="0">
        <w:start w:val="1"/>
        <w:numFmt w:val="decimal"/>
        <w:pStyle w:val="Heading1"/>
        <w:lvlText w:val="%1.0"/>
        <w:lvlJc w:val="left"/>
        <w:pPr>
          <w:tabs>
            <w:tab w:val="num" w:pos="737"/>
          </w:tabs>
          <w:ind w:left="737" w:hanging="737"/>
        </w:pPr>
        <w:rPr>
          <w:rFonts w:hint="default"/>
          <w:color w:val="783CBD"/>
        </w:rPr>
      </w:lvl>
    </w:lvlOverride>
    <w:lvlOverride w:ilvl="1">
      <w:lvl w:ilvl="1">
        <w:start w:val="1"/>
        <w:numFmt w:val="decimal"/>
        <w:pStyle w:val="Heading2"/>
        <w:lvlText w:val="%1.%2"/>
        <w:lvlJc w:val="left"/>
        <w:pPr>
          <w:tabs>
            <w:tab w:val="num" w:pos="737"/>
          </w:tabs>
          <w:ind w:left="737" w:hanging="737"/>
        </w:pPr>
        <w:rPr>
          <w:rFonts w:hint="default"/>
          <w:color w:val="783CBD"/>
        </w:rPr>
      </w:lvl>
    </w:lvlOverride>
  </w:num>
  <w:num w:numId="9">
    <w:abstractNumId w:val="29"/>
  </w:num>
  <w:num w:numId="10">
    <w:abstractNumId w:val="9"/>
  </w:num>
  <w:num w:numId="11">
    <w:abstractNumId w:val="13"/>
  </w:num>
  <w:num w:numId="12">
    <w:abstractNumId w:val="8"/>
  </w:num>
  <w:num w:numId="13">
    <w:abstractNumId w:val="28"/>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6"/>
  </w:num>
  <w:num w:numId="18">
    <w:abstractNumId w:val="0"/>
  </w:num>
  <w:num w:numId="19">
    <w:abstractNumId w:val="33"/>
  </w:num>
  <w:num w:numId="20">
    <w:abstractNumId w:val="33"/>
  </w:num>
  <w:num w:numId="21">
    <w:abstractNumId w:val="33"/>
  </w:num>
  <w:num w:numId="22">
    <w:abstractNumId w:val="33"/>
  </w:num>
  <w:num w:numId="23">
    <w:abstractNumId w:val="33"/>
  </w:num>
  <w:num w:numId="24">
    <w:abstractNumId w:val="33"/>
  </w:num>
  <w:num w:numId="25">
    <w:abstractNumId w:val="33"/>
  </w:num>
  <w:num w:numId="26">
    <w:abstractNumId w:val="1"/>
  </w:num>
  <w:num w:numId="27">
    <w:abstractNumId w:val="26"/>
  </w:num>
  <w:num w:numId="28">
    <w:abstractNumId w:val="20"/>
  </w:num>
  <w:num w:numId="29">
    <w:abstractNumId w:val="5"/>
  </w:num>
  <w:num w:numId="30">
    <w:abstractNumId w:val="2"/>
  </w:num>
  <w:num w:numId="31">
    <w:abstractNumId w:val="12"/>
  </w:num>
  <w:num w:numId="32">
    <w:abstractNumId w:val="19"/>
  </w:num>
  <w:num w:numId="33">
    <w:abstractNumId w:val="33"/>
  </w:num>
  <w:num w:numId="34">
    <w:abstractNumId w:val="3"/>
  </w:num>
  <w:num w:numId="35">
    <w:abstractNumId w:val="18"/>
  </w:num>
  <w:num w:numId="36">
    <w:abstractNumId w:val="34"/>
  </w:num>
  <w:num w:numId="37">
    <w:abstractNumId w:val="32"/>
  </w:num>
  <w:num w:numId="38">
    <w:abstractNumId w:val="30"/>
  </w:num>
  <w:num w:numId="39">
    <w:abstractNumId w:val="23"/>
  </w:num>
  <w:num w:numId="40">
    <w:abstractNumId w:val="31"/>
  </w:num>
  <w:num w:numId="41">
    <w:abstractNumId w:val="21"/>
  </w:num>
  <w:num w:numId="42">
    <w:abstractNumId w:val="15"/>
  </w:num>
  <w:num w:numId="43">
    <w:abstractNumId w:val="25"/>
  </w:num>
  <w:num w:numId="44">
    <w:abstractNumId w:val="6"/>
  </w:num>
  <w:num w:numId="45">
    <w:abstractNumId w:val="24"/>
  </w:num>
  <w:num w:numId="46">
    <w:abstractNumId w:val="4"/>
  </w:num>
  <w:num w:numId="47">
    <w:abstractNumId w:val="10"/>
  </w:num>
  <w:num w:numId="48">
    <w:abstractNumId w:val="14"/>
  </w:num>
  <w:num w:numId="49">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0"/>
  <w:defaultTabStop w:val="720"/>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EFBC155-0360-446C-B7CA-60F9FD6F8E26}"/>
    <w:docVar w:name="dgnword-eventsink" w:val="123491080"/>
  </w:docVars>
  <w:rsids>
    <w:rsidRoot w:val="007D4E6E"/>
    <w:rsid w:val="00000789"/>
    <w:rsid w:val="00001CF3"/>
    <w:rsid w:val="00003C85"/>
    <w:rsid w:val="00004FF4"/>
    <w:rsid w:val="000062E6"/>
    <w:rsid w:val="000064E2"/>
    <w:rsid w:val="000067EC"/>
    <w:rsid w:val="00011DC5"/>
    <w:rsid w:val="000159C8"/>
    <w:rsid w:val="0002035F"/>
    <w:rsid w:val="000209FE"/>
    <w:rsid w:val="000235D7"/>
    <w:rsid w:val="0002388A"/>
    <w:rsid w:val="00025EE4"/>
    <w:rsid w:val="00027CA1"/>
    <w:rsid w:val="000336AC"/>
    <w:rsid w:val="00035483"/>
    <w:rsid w:val="00041B68"/>
    <w:rsid w:val="000422FE"/>
    <w:rsid w:val="00043435"/>
    <w:rsid w:val="00051188"/>
    <w:rsid w:val="00052D78"/>
    <w:rsid w:val="00053B72"/>
    <w:rsid w:val="000545A2"/>
    <w:rsid w:val="0006053D"/>
    <w:rsid w:val="00061C24"/>
    <w:rsid w:val="00061E1E"/>
    <w:rsid w:val="000623B3"/>
    <w:rsid w:val="00064FF6"/>
    <w:rsid w:val="00066C46"/>
    <w:rsid w:val="00070223"/>
    <w:rsid w:val="00070335"/>
    <w:rsid w:val="00071438"/>
    <w:rsid w:val="000728E1"/>
    <w:rsid w:val="000729CC"/>
    <w:rsid w:val="00073054"/>
    <w:rsid w:val="00075F5B"/>
    <w:rsid w:val="000846B5"/>
    <w:rsid w:val="0008558A"/>
    <w:rsid w:val="00087ABD"/>
    <w:rsid w:val="00087C7F"/>
    <w:rsid w:val="00087D41"/>
    <w:rsid w:val="00092161"/>
    <w:rsid w:val="000924AE"/>
    <w:rsid w:val="0009484F"/>
    <w:rsid w:val="00095E6E"/>
    <w:rsid w:val="00096B3E"/>
    <w:rsid w:val="00097C5D"/>
    <w:rsid w:val="000A0375"/>
    <w:rsid w:val="000A0723"/>
    <w:rsid w:val="000A08F5"/>
    <w:rsid w:val="000A3FB3"/>
    <w:rsid w:val="000A79A7"/>
    <w:rsid w:val="000B1D7E"/>
    <w:rsid w:val="000B2CE4"/>
    <w:rsid w:val="000B595A"/>
    <w:rsid w:val="000B6991"/>
    <w:rsid w:val="000C00A9"/>
    <w:rsid w:val="000C1EAD"/>
    <w:rsid w:val="000C2018"/>
    <w:rsid w:val="000C7716"/>
    <w:rsid w:val="000D0B98"/>
    <w:rsid w:val="000D1863"/>
    <w:rsid w:val="000D1B29"/>
    <w:rsid w:val="000D24B0"/>
    <w:rsid w:val="000D395A"/>
    <w:rsid w:val="000D3B8C"/>
    <w:rsid w:val="000D4619"/>
    <w:rsid w:val="000D5A2D"/>
    <w:rsid w:val="000D6A3D"/>
    <w:rsid w:val="000D6E8B"/>
    <w:rsid w:val="000E0091"/>
    <w:rsid w:val="000E644C"/>
    <w:rsid w:val="000E6CA2"/>
    <w:rsid w:val="000F13F0"/>
    <w:rsid w:val="000F2A83"/>
    <w:rsid w:val="000F31EC"/>
    <w:rsid w:val="000F32FA"/>
    <w:rsid w:val="000F34CC"/>
    <w:rsid w:val="000F7BA5"/>
    <w:rsid w:val="00100266"/>
    <w:rsid w:val="00101075"/>
    <w:rsid w:val="00101866"/>
    <w:rsid w:val="001036FB"/>
    <w:rsid w:val="00103B35"/>
    <w:rsid w:val="001116C7"/>
    <w:rsid w:val="00112D31"/>
    <w:rsid w:val="00112D3D"/>
    <w:rsid w:val="0011468F"/>
    <w:rsid w:val="00114A0F"/>
    <w:rsid w:val="00115F11"/>
    <w:rsid w:val="0011718F"/>
    <w:rsid w:val="001212FA"/>
    <w:rsid w:val="0012282E"/>
    <w:rsid w:val="0012395D"/>
    <w:rsid w:val="00126FB4"/>
    <w:rsid w:val="00133231"/>
    <w:rsid w:val="00137100"/>
    <w:rsid w:val="00137E01"/>
    <w:rsid w:val="00140556"/>
    <w:rsid w:val="001431B2"/>
    <w:rsid w:val="001440EC"/>
    <w:rsid w:val="0014667E"/>
    <w:rsid w:val="001479B7"/>
    <w:rsid w:val="0015083B"/>
    <w:rsid w:val="00151978"/>
    <w:rsid w:val="001528B2"/>
    <w:rsid w:val="00153A9C"/>
    <w:rsid w:val="0015534E"/>
    <w:rsid w:val="001556ED"/>
    <w:rsid w:val="00157F1B"/>
    <w:rsid w:val="00160DE8"/>
    <w:rsid w:val="00161316"/>
    <w:rsid w:val="00162139"/>
    <w:rsid w:val="00163CD9"/>
    <w:rsid w:val="001640BD"/>
    <w:rsid w:val="00164685"/>
    <w:rsid w:val="001651FB"/>
    <w:rsid w:val="001653D7"/>
    <w:rsid w:val="0016622B"/>
    <w:rsid w:val="001665A0"/>
    <w:rsid w:val="00167335"/>
    <w:rsid w:val="001707F0"/>
    <w:rsid w:val="001728AE"/>
    <w:rsid w:val="00172EB2"/>
    <w:rsid w:val="001732E1"/>
    <w:rsid w:val="00173834"/>
    <w:rsid w:val="00175E48"/>
    <w:rsid w:val="001774CD"/>
    <w:rsid w:val="001808C7"/>
    <w:rsid w:val="001809D2"/>
    <w:rsid w:val="00181CB8"/>
    <w:rsid w:val="00184123"/>
    <w:rsid w:val="00184738"/>
    <w:rsid w:val="00184950"/>
    <w:rsid w:val="001878FA"/>
    <w:rsid w:val="001912AC"/>
    <w:rsid w:val="00191422"/>
    <w:rsid w:val="00191CA8"/>
    <w:rsid w:val="00192628"/>
    <w:rsid w:val="00193138"/>
    <w:rsid w:val="001934B3"/>
    <w:rsid w:val="00193DBF"/>
    <w:rsid w:val="001956F2"/>
    <w:rsid w:val="00196A0F"/>
    <w:rsid w:val="001A062D"/>
    <w:rsid w:val="001A468E"/>
    <w:rsid w:val="001A4AFA"/>
    <w:rsid w:val="001A5439"/>
    <w:rsid w:val="001A68FB"/>
    <w:rsid w:val="001A6C84"/>
    <w:rsid w:val="001A761C"/>
    <w:rsid w:val="001B01DD"/>
    <w:rsid w:val="001B07F1"/>
    <w:rsid w:val="001B2466"/>
    <w:rsid w:val="001B3597"/>
    <w:rsid w:val="001B3EAB"/>
    <w:rsid w:val="001B7ADF"/>
    <w:rsid w:val="001C0259"/>
    <w:rsid w:val="001C2D45"/>
    <w:rsid w:val="001C4D25"/>
    <w:rsid w:val="001C5D10"/>
    <w:rsid w:val="001D2D89"/>
    <w:rsid w:val="001D36AE"/>
    <w:rsid w:val="001D4926"/>
    <w:rsid w:val="001D49A0"/>
    <w:rsid w:val="001D74C0"/>
    <w:rsid w:val="001E2D4C"/>
    <w:rsid w:val="001E5177"/>
    <w:rsid w:val="001E7169"/>
    <w:rsid w:val="001E7D2C"/>
    <w:rsid w:val="001F154A"/>
    <w:rsid w:val="001F29D1"/>
    <w:rsid w:val="001F6443"/>
    <w:rsid w:val="001F6B95"/>
    <w:rsid w:val="001F7648"/>
    <w:rsid w:val="001F7BB1"/>
    <w:rsid w:val="00200043"/>
    <w:rsid w:val="00200328"/>
    <w:rsid w:val="002035E2"/>
    <w:rsid w:val="00205576"/>
    <w:rsid w:val="00206362"/>
    <w:rsid w:val="0020703A"/>
    <w:rsid w:val="00207DF1"/>
    <w:rsid w:val="00211AC5"/>
    <w:rsid w:val="00211B53"/>
    <w:rsid w:val="0021280F"/>
    <w:rsid w:val="0021305F"/>
    <w:rsid w:val="002138B5"/>
    <w:rsid w:val="00214BCF"/>
    <w:rsid w:val="00222497"/>
    <w:rsid w:val="00224D67"/>
    <w:rsid w:val="00225DCA"/>
    <w:rsid w:val="00230D35"/>
    <w:rsid w:val="00230FAB"/>
    <w:rsid w:val="002328AC"/>
    <w:rsid w:val="00233451"/>
    <w:rsid w:val="002344B2"/>
    <w:rsid w:val="00234966"/>
    <w:rsid w:val="002376FE"/>
    <w:rsid w:val="00240E29"/>
    <w:rsid w:val="00242E2C"/>
    <w:rsid w:val="0024365A"/>
    <w:rsid w:val="0024368C"/>
    <w:rsid w:val="00243EF0"/>
    <w:rsid w:val="00244034"/>
    <w:rsid w:val="00244318"/>
    <w:rsid w:val="00244528"/>
    <w:rsid w:val="002463BE"/>
    <w:rsid w:val="00247AFE"/>
    <w:rsid w:val="00250570"/>
    <w:rsid w:val="0025410F"/>
    <w:rsid w:val="00254EE5"/>
    <w:rsid w:val="002550B3"/>
    <w:rsid w:val="0025547B"/>
    <w:rsid w:val="00255B93"/>
    <w:rsid w:val="00256555"/>
    <w:rsid w:val="00256E39"/>
    <w:rsid w:val="00257D23"/>
    <w:rsid w:val="002605E8"/>
    <w:rsid w:val="002609B6"/>
    <w:rsid w:val="00261E4E"/>
    <w:rsid w:val="002633AB"/>
    <w:rsid w:val="00264FB6"/>
    <w:rsid w:val="00265546"/>
    <w:rsid w:val="00267D4E"/>
    <w:rsid w:val="002718C1"/>
    <w:rsid w:val="00272EE3"/>
    <w:rsid w:val="002735B6"/>
    <w:rsid w:val="002748FB"/>
    <w:rsid w:val="00274C3D"/>
    <w:rsid w:val="0027526E"/>
    <w:rsid w:val="0028027C"/>
    <w:rsid w:val="00280902"/>
    <w:rsid w:val="00280D53"/>
    <w:rsid w:val="002821BD"/>
    <w:rsid w:val="00283279"/>
    <w:rsid w:val="00284357"/>
    <w:rsid w:val="00285C7D"/>
    <w:rsid w:val="00285E89"/>
    <w:rsid w:val="00286EAB"/>
    <w:rsid w:val="00290978"/>
    <w:rsid w:val="00290FBE"/>
    <w:rsid w:val="002938A3"/>
    <w:rsid w:val="002950D2"/>
    <w:rsid w:val="00296234"/>
    <w:rsid w:val="002966F4"/>
    <w:rsid w:val="00296CC1"/>
    <w:rsid w:val="00296CCE"/>
    <w:rsid w:val="002A046F"/>
    <w:rsid w:val="002A10AC"/>
    <w:rsid w:val="002A149E"/>
    <w:rsid w:val="002A1B14"/>
    <w:rsid w:val="002A3098"/>
    <w:rsid w:val="002A52D2"/>
    <w:rsid w:val="002A5771"/>
    <w:rsid w:val="002A62F3"/>
    <w:rsid w:val="002B016D"/>
    <w:rsid w:val="002B13A8"/>
    <w:rsid w:val="002B354B"/>
    <w:rsid w:val="002B591E"/>
    <w:rsid w:val="002B68FF"/>
    <w:rsid w:val="002C0BCB"/>
    <w:rsid w:val="002C0FD6"/>
    <w:rsid w:val="002C2264"/>
    <w:rsid w:val="002C3865"/>
    <w:rsid w:val="002C76BF"/>
    <w:rsid w:val="002D006C"/>
    <w:rsid w:val="002D1B1E"/>
    <w:rsid w:val="002D2724"/>
    <w:rsid w:val="002D3038"/>
    <w:rsid w:val="002D30D5"/>
    <w:rsid w:val="002D3DBC"/>
    <w:rsid w:val="002D478C"/>
    <w:rsid w:val="002D4C7D"/>
    <w:rsid w:val="002D4CC3"/>
    <w:rsid w:val="002D4FE3"/>
    <w:rsid w:val="002D537E"/>
    <w:rsid w:val="002D679D"/>
    <w:rsid w:val="002D71F5"/>
    <w:rsid w:val="002D767A"/>
    <w:rsid w:val="002D78E3"/>
    <w:rsid w:val="002D7BB6"/>
    <w:rsid w:val="002E0966"/>
    <w:rsid w:val="002E1C11"/>
    <w:rsid w:val="002E35E2"/>
    <w:rsid w:val="002E3BAE"/>
    <w:rsid w:val="002E6C99"/>
    <w:rsid w:val="002E6E8E"/>
    <w:rsid w:val="002F07C7"/>
    <w:rsid w:val="002F1816"/>
    <w:rsid w:val="002F4101"/>
    <w:rsid w:val="002F477E"/>
    <w:rsid w:val="002F4D67"/>
    <w:rsid w:val="002F5DDA"/>
    <w:rsid w:val="002F6862"/>
    <w:rsid w:val="002F7056"/>
    <w:rsid w:val="002F7F82"/>
    <w:rsid w:val="00300437"/>
    <w:rsid w:val="003008BF"/>
    <w:rsid w:val="00301D8C"/>
    <w:rsid w:val="00302784"/>
    <w:rsid w:val="0030334D"/>
    <w:rsid w:val="00305FF4"/>
    <w:rsid w:val="00307FDE"/>
    <w:rsid w:val="0031017D"/>
    <w:rsid w:val="00310223"/>
    <w:rsid w:val="00310652"/>
    <w:rsid w:val="00311663"/>
    <w:rsid w:val="00311F81"/>
    <w:rsid w:val="00312B4E"/>
    <w:rsid w:val="00312B86"/>
    <w:rsid w:val="00313432"/>
    <w:rsid w:val="00313820"/>
    <w:rsid w:val="00315E84"/>
    <w:rsid w:val="00316823"/>
    <w:rsid w:val="00316B4C"/>
    <w:rsid w:val="00320430"/>
    <w:rsid w:val="00321A48"/>
    <w:rsid w:val="003224EC"/>
    <w:rsid w:val="00323F51"/>
    <w:rsid w:val="003267D0"/>
    <w:rsid w:val="00331C3A"/>
    <w:rsid w:val="00332EF1"/>
    <w:rsid w:val="00333EDB"/>
    <w:rsid w:val="003409EA"/>
    <w:rsid w:val="00340D0A"/>
    <w:rsid w:val="00342648"/>
    <w:rsid w:val="00342726"/>
    <w:rsid w:val="003429FD"/>
    <w:rsid w:val="00342DB6"/>
    <w:rsid w:val="003431D9"/>
    <w:rsid w:val="00344258"/>
    <w:rsid w:val="00345AC8"/>
    <w:rsid w:val="00347533"/>
    <w:rsid w:val="003476F1"/>
    <w:rsid w:val="00352736"/>
    <w:rsid w:val="00353A40"/>
    <w:rsid w:val="00354208"/>
    <w:rsid w:val="00354BD6"/>
    <w:rsid w:val="003640EC"/>
    <w:rsid w:val="00365183"/>
    <w:rsid w:val="00365357"/>
    <w:rsid w:val="003667F7"/>
    <w:rsid w:val="00373A88"/>
    <w:rsid w:val="00374835"/>
    <w:rsid w:val="00374D40"/>
    <w:rsid w:val="00380912"/>
    <w:rsid w:val="003811EE"/>
    <w:rsid w:val="003816D7"/>
    <w:rsid w:val="00381B9B"/>
    <w:rsid w:val="00382451"/>
    <w:rsid w:val="003829C5"/>
    <w:rsid w:val="00384059"/>
    <w:rsid w:val="003846EB"/>
    <w:rsid w:val="0038472F"/>
    <w:rsid w:val="003858A4"/>
    <w:rsid w:val="00385CAB"/>
    <w:rsid w:val="003869F8"/>
    <w:rsid w:val="00386FEC"/>
    <w:rsid w:val="0039048B"/>
    <w:rsid w:val="00394688"/>
    <w:rsid w:val="00395245"/>
    <w:rsid w:val="0039530C"/>
    <w:rsid w:val="00396C1C"/>
    <w:rsid w:val="003A0D28"/>
    <w:rsid w:val="003A473A"/>
    <w:rsid w:val="003A4907"/>
    <w:rsid w:val="003A505C"/>
    <w:rsid w:val="003A5E8C"/>
    <w:rsid w:val="003A6C4A"/>
    <w:rsid w:val="003A7912"/>
    <w:rsid w:val="003A7FAE"/>
    <w:rsid w:val="003B04C8"/>
    <w:rsid w:val="003B0823"/>
    <w:rsid w:val="003B0C5F"/>
    <w:rsid w:val="003C2A5E"/>
    <w:rsid w:val="003C5FB4"/>
    <w:rsid w:val="003D06DA"/>
    <w:rsid w:val="003D31C9"/>
    <w:rsid w:val="003D35DA"/>
    <w:rsid w:val="003D5211"/>
    <w:rsid w:val="003D5CEC"/>
    <w:rsid w:val="003E0826"/>
    <w:rsid w:val="003E1971"/>
    <w:rsid w:val="003E1E4B"/>
    <w:rsid w:val="003E216D"/>
    <w:rsid w:val="003E226C"/>
    <w:rsid w:val="003E3C9B"/>
    <w:rsid w:val="003E4411"/>
    <w:rsid w:val="003E6B49"/>
    <w:rsid w:val="003F0C47"/>
    <w:rsid w:val="003F226A"/>
    <w:rsid w:val="003F2D73"/>
    <w:rsid w:val="003F3292"/>
    <w:rsid w:val="003F5231"/>
    <w:rsid w:val="003F68A5"/>
    <w:rsid w:val="00401A63"/>
    <w:rsid w:val="004031EC"/>
    <w:rsid w:val="00403578"/>
    <w:rsid w:val="004039FC"/>
    <w:rsid w:val="00403ABF"/>
    <w:rsid w:val="0040620A"/>
    <w:rsid w:val="0040773F"/>
    <w:rsid w:val="004118E2"/>
    <w:rsid w:val="00412C49"/>
    <w:rsid w:val="00412C8E"/>
    <w:rsid w:val="00412F22"/>
    <w:rsid w:val="00413726"/>
    <w:rsid w:val="00414237"/>
    <w:rsid w:val="00416243"/>
    <w:rsid w:val="0041653B"/>
    <w:rsid w:val="004169E1"/>
    <w:rsid w:val="004179B1"/>
    <w:rsid w:val="00421688"/>
    <w:rsid w:val="00421E23"/>
    <w:rsid w:val="00422400"/>
    <w:rsid w:val="00424718"/>
    <w:rsid w:val="004253D4"/>
    <w:rsid w:val="004266D7"/>
    <w:rsid w:val="00427B59"/>
    <w:rsid w:val="00431064"/>
    <w:rsid w:val="0043127F"/>
    <w:rsid w:val="00431307"/>
    <w:rsid w:val="00431A71"/>
    <w:rsid w:val="004334A3"/>
    <w:rsid w:val="004400B2"/>
    <w:rsid w:val="0044098B"/>
    <w:rsid w:val="00441A9F"/>
    <w:rsid w:val="004422BA"/>
    <w:rsid w:val="004439E9"/>
    <w:rsid w:val="004440A5"/>
    <w:rsid w:val="004443B0"/>
    <w:rsid w:val="004476D2"/>
    <w:rsid w:val="00447A80"/>
    <w:rsid w:val="00447CF0"/>
    <w:rsid w:val="00447D5C"/>
    <w:rsid w:val="00454C7A"/>
    <w:rsid w:val="00455411"/>
    <w:rsid w:val="00455903"/>
    <w:rsid w:val="00457F43"/>
    <w:rsid w:val="004642D9"/>
    <w:rsid w:val="004653CF"/>
    <w:rsid w:val="004677F4"/>
    <w:rsid w:val="00467FC0"/>
    <w:rsid w:val="004704E7"/>
    <w:rsid w:val="00472B6C"/>
    <w:rsid w:val="00476A1E"/>
    <w:rsid w:val="00480B68"/>
    <w:rsid w:val="00481C40"/>
    <w:rsid w:val="00481E7B"/>
    <w:rsid w:val="00482214"/>
    <w:rsid w:val="004830C0"/>
    <w:rsid w:val="004838DF"/>
    <w:rsid w:val="00483AB5"/>
    <w:rsid w:val="004900FA"/>
    <w:rsid w:val="00491395"/>
    <w:rsid w:val="00492813"/>
    <w:rsid w:val="00493928"/>
    <w:rsid w:val="00497C58"/>
    <w:rsid w:val="00497FF9"/>
    <w:rsid w:val="004A0299"/>
    <w:rsid w:val="004A0D5B"/>
    <w:rsid w:val="004A14EB"/>
    <w:rsid w:val="004A21A1"/>
    <w:rsid w:val="004A3740"/>
    <w:rsid w:val="004A3D91"/>
    <w:rsid w:val="004A64B5"/>
    <w:rsid w:val="004A7486"/>
    <w:rsid w:val="004B0139"/>
    <w:rsid w:val="004B15C7"/>
    <w:rsid w:val="004B278B"/>
    <w:rsid w:val="004B2DC8"/>
    <w:rsid w:val="004B319A"/>
    <w:rsid w:val="004B451B"/>
    <w:rsid w:val="004B5522"/>
    <w:rsid w:val="004B554C"/>
    <w:rsid w:val="004B5635"/>
    <w:rsid w:val="004B63EF"/>
    <w:rsid w:val="004B660D"/>
    <w:rsid w:val="004B67E0"/>
    <w:rsid w:val="004B6985"/>
    <w:rsid w:val="004B6D9D"/>
    <w:rsid w:val="004C0AE5"/>
    <w:rsid w:val="004C1A84"/>
    <w:rsid w:val="004C3509"/>
    <w:rsid w:val="004C4D59"/>
    <w:rsid w:val="004C4F61"/>
    <w:rsid w:val="004C761D"/>
    <w:rsid w:val="004D09C6"/>
    <w:rsid w:val="004D334A"/>
    <w:rsid w:val="004D4051"/>
    <w:rsid w:val="004D41F0"/>
    <w:rsid w:val="004D431B"/>
    <w:rsid w:val="004D5818"/>
    <w:rsid w:val="004D5F24"/>
    <w:rsid w:val="004D6DFD"/>
    <w:rsid w:val="004E2F96"/>
    <w:rsid w:val="004E38E9"/>
    <w:rsid w:val="004E5D76"/>
    <w:rsid w:val="004E7C6B"/>
    <w:rsid w:val="004E7D03"/>
    <w:rsid w:val="004F0670"/>
    <w:rsid w:val="004F1B97"/>
    <w:rsid w:val="004F2DC3"/>
    <w:rsid w:val="004F370D"/>
    <w:rsid w:val="004F7901"/>
    <w:rsid w:val="00501632"/>
    <w:rsid w:val="00501F8D"/>
    <w:rsid w:val="0050266A"/>
    <w:rsid w:val="00504A25"/>
    <w:rsid w:val="00505399"/>
    <w:rsid w:val="00506DDE"/>
    <w:rsid w:val="00512A3E"/>
    <w:rsid w:val="005133F6"/>
    <w:rsid w:val="005139A7"/>
    <w:rsid w:val="00513D74"/>
    <w:rsid w:val="00514318"/>
    <w:rsid w:val="005150CC"/>
    <w:rsid w:val="0052137C"/>
    <w:rsid w:val="00525925"/>
    <w:rsid w:val="005271C1"/>
    <w:rsid w:val="005304D0"/>
    <w:rsid w:val="005323AF"/>
    <w:rsid w:val="00532D67"/>
    <w:rsid w:val="00536858"/>
    <w:rsid w:val="00536CD3"/>
    <w:rsid w:val="00536E82"/>
    <w:rsid w:val="00541F01"/>
    <w:rsid w:val="00542133"/>
    <w:rsid w:val="00542B59"/>
    <w:rsid w:val="00544E26"/>
    <w:rsid w:val="0054542E"/>
    <w:rsid w:val="00546244"/>
    <w:rsid w:val="005472B5"/>
    <w:rsid w:val="00547457"/>
    <w:rsid w:val="00547D21"/>
    <w:rsid w:val="00550B78"/>
    <w:rsid w:val="00550BD1"/>
    <w:rsid w:val="00551F7E"/>
    <w:rsid w:val="005531C4"/>
    <w:rsid w:val="00554E10"/>
    <w:rsid w:val="0055615E"/>
    <w:rsid w:val="005577D9"/>
    <w:rsid w:val="005608BD"/>
    <w:rsid w:val="00561255"/>
    <w:rsid w:val="00566095"/>
    <w:rsid w:val="005668E6"/>
    <w:rsid w:val="00566FE8"/>
    <w:rsid w:val="0056738C"/>
    <w:rsid w:val="005706DF"/>
    <w:rsid w:val="00570FA0"/>
    <w:rsid w:val="00571376"/>
    <w:rsid w:val="00571770"/>
    <w:rsid w:val="00571F85"/>
    <w:rsid w:val="0057263A"/>
    <w:rsid w:val="005742BD"/>
    <w:rsid w:val="00577680"/>
    <w:rsid w:val="005777C6"/>
    <w:rsid w:val="00581A8B"/>
    <w:rsid w:val="00583929"/>
    <w:rsid w:val="00585009"/>
    <w:rsid w:val="00590C4A"/>
    <w:rsid w:val="005911DD"/>
    <w:rsid w:val="00592D3B"/>
    <w:rsid w:val="005937EB"/>
    <w:rsid w:val="00595747"/>
    <w:rsid w:val="00596BE3"/>
    <w:rsid w:val="00596E91"/>
    <w:rsid w:val="005A02FE"/>
    <w:rsid w:val="005A5375"/>
    <w:rsid w:val="005A58F4"/>
    <w:rsid w:val="005A6CEA"/>
    <w:rsid w:val="005A6DB5"/>
    <w:rsid w:val="005A7113"/>
    <w:rsid w:val="005B03CA"/>
    <w:rsid w:val="005B30ED"/>
    <w:rsid w:val="005B3D44"/>
    <w:rsid w:val="005B5645"/>
    <w:rsid w:val="005C234C"/>
    <w:rsid w:val="005C32B8"/>
    <w:rsid w:val="005C389B"/>
    <w:rsid w:val="005C54CF"/>
    <w:rsid w:val="005C73BB"/>
    <w:rsid w:val="005C7C47"/>
    <w:rsid w:val="005D080F"/>
    <w:rsid w:val="005D0CA3"/>
    <w:rsid w:val="005D1E72"/>
    <w:rsid w:val="005D2402"/>
    <w:rsid w:val="005D2720"/>
    <w:rsid w:val="005D2B31"/>
    <w:rsid w:val="005D2E0B"/>
    <w:rsid w:val="005E1387"/>
    <w:rsid w:val="005E4B4E"/>
    <w:rsid w:val="005E64B3"/>
    <w:rsid w:val="005E6E86"/>
    <w:rsid w:val="005E7575"/>
    <w:rsid w:val="005F0EFC"/>
    <w:rsid w:val="005F1C4D"/>
    <w:rsid w:val="005F2BDD"/>
    <w:rsid w:val="005F3ABE"/>
    <w:rsid w:val="005F4825"/>
    <w:rsid w:val="005F5C06"/>
    <w:rsid w:val="0060397A"/>
    <w:rsid w:val="00603F10"/>
    <w:rsid w:val="00604999"/>
    <w:rsid w:val="00604C62"/>
    <w:rsid w:val="00604FBC"/>
    <w:rsid w:val="00605C68"/>
    <w:rsid w:val="00610584"/>
    <w:rsid w:val="00611B81"/>
    <w:rsid w:val="006121C0"/>
    <w:rsid w:val="00613277"/>
    <w:rsid w:val="00614BB5"/>
    <w:rsid w:val="00614E6D"/>
    <w:rsid w:val="00616DAF"/>
    <w:rsid w:val="00617F01"/>
    <w:rsid w:val="00620960"/>
    <w:rsid w:val="00621BE8"/>
    <w:rsid w:val="00622068"/>
    <w:rsid w:val="006226CF"/>
    <w:rsid w:val="00623F1C"/>
    <w:rsid w:val="00624557"/>
    <w:rsid w:val="00624FB2"/>
    <w:rsid w:val="00625BD9"/>
    <w:rsid w:val="00625C57"/>
    <w:rsid w:val="00627626"/>
    <w:rsid w:val="0063321C"/>
    <w:rsid w:val="006353A0"/>
    <w:rsid w:val="006405C9"/>
    <w:rsid w:val="00642D1D"/>
    <w:rsid w:val="00644503"/>
    <w:rsid w:val="00651792"/>
    <w:rsid w:val="0065305C"/>
    <w:rsid w:val="00653196"/>
    <w:rsid w:val="00654FD3"/>
    <w:rsid w:val="00655A2E"/>
    <w:rsid w:val="00657847"/>
    <w:rsid w:val="00660AF0"/>
    <w:rsid w:val="0066160E"/>
    <w:rsid w:val="006624F8"/>
    <w:rsid w:val="00670394"/>
    <w:rsid w:val="00673B36"/>
    <w:rsid w:val="00674220"/>
    <w:rsid w:val="0067472C"/>
    <w:rsid w:val="00676D31"/>
    <w:rsid w:val="00681455"/>
    <w:rsid w:val="00683AD5"/>
    <w:rsid w:val="00683F2F"/>
    <w:rsid w:val="00684808"/>
    <w:rsid w:val="0068495C"/>
    <w:rsid w:val="00684FE5"/>
    <w:rsid w:val="006854B4"/>
    <w:rsid w:val="00687586"/>
    <w:rsid w:val="00690286"/>
    <w:rsid w:val="00692352"/>
    <w:rsid w:val="00697B05"/>
    <w:rsid w:val="006A0FE0"/>
    <w:rsid w:val="006A4BC5"/>
    <w:rsid w:val="006A638B"/>
    <w:rsid w:val="006A643D"/>
    <w:rsid w:val="006B04D3"/>
    <w:rsid w:val="006B2F9B"/>
    <w:rsid w:val="006B3C48"/>
    <w:rsid w:val="006B4A4B"/>
    <w:rsid w:val="006B4C6C"/>
    <w:rsid w:val="006B73E4"/>
    <w:rsid w:val="006B7460"/>
    <w:rsid w:val="006C273D"/>
    <w:rsid w:val="006C2C7B"/>
    <w:rsid w:val="006C312D"/>
    <w:rsid w:val="006D0121"/>
    <w:rsid w:val="006D388F"/>
    <w:rsid w:val="006D4262"/>
    <w:rsid w:val="006D7E5A"/>
    <w:rsid w:val="006E2C69"/>
    <w:rsid w:val="006E2C6C"/>
    <w:rsid w:val="006E335E"/>
    <w:rsid w:val="006E3C36"/>
    <w:rsid w:val="006F43C0"/>
    <w:rsid w:val="006F58E3"/>
    <w:rsid w:val="006F64CD"/>
    <w:rsid w:val="006F700F"/>
    <w:rsid w:val="006F7294"/>
    <w:rsid w:val="007003FC"/>
    <w:rsid w:val="00701715"/>
    <w:rsid w:val="00702B12"/>
    <w:rsid w:val="00703B24"/>
    <w:rsid w:val="00704482"/>
    <w:rsid w:val="007044B9"/>
    <w:rsid w:val="00707041"/>
    <w:rsid w:val="00712FE9"/>
    <w:rsid w:val="00717BD7"/>
    <w:rsid w:val="00721445"/>
    <w:rsid w:val="007251BD"/>
    <w:rsid w:val="00725A1C"/>
    <w:rsid w:val="007262F2"/>
    <w:rsid w:val="0072672A"/>
    <w:rsid w:val="00731044"/>
    <w:rsid w:val="00731664"/>
    <w:rsid w:val="00732A7E"/>
    <w:rsid w:val="00733580"/>
    <w:rsid w:val="00737D9B"/>
    <w:rsid w:val="00740127"/>
    <w:rsid w:val="007418A6"/>
    <w:rsid w:val="00741955"/>
    <w:rsid w:val="00741B68"/>
    <w:rsid w:val="0074208D"/>
    <w:rsid w:val="00743FE2"/>
    <w:rsid w:val="00746B52"/>
    <w:rsid w:val="0074766D"/>
    <w:rsid w:val="00750B29"/>
    <w:rsid w:val="00752101"/>
    <w:rsid w:val="007529D2"/>
    <w:rsid w:val="007560D1"/>
    <w:rsid w:val="0075611A"/>
    <w:rsid w:val="00756E5E"/>
    <w:rsid w:val="007622F8"/>
    <w:rsid w:val="00763DAC"/>
    <w:rsid w:val="007649EF"/>
    <w:rsid w:val="00770AEF"/>
    <w:rsid w:val="00771E4D"/>
    <w:rsid w:val="0077249E"/>
    <w:rsid w:val="00774577"/>
    <w:rsid w:val="00774D31"/>
    <w:rsid w:val="00775282"/>
    <w:rsid w:val="007803D7"/>
    <w:rsid w:val="00781F17"/>
    <w:rsid w:val="007838DA"/>
    <w:rsid w:val="00783E36"/>
    <w:rsid w:val="007846E6"/>
    <w:rsid w:val="00786494"/>
    <w:rsid w:val="007924CE"/>
    <w:rsid w:val="00792FC6"/>
    <w:rsid w:val="00793688"/>
    <w:rsid w:val="00793C09"/>
    <w:rsid w:val="007940FD"/>
    <w:rsid w:val="00795161"/>
    <w:rsid w:val="00797347"/>
    <w:rsid w:val="00797EF2"/>
    <w:rsid w:val="007A045F"/>
    <w:rsid w:val="007A1266"/>
    <w:rsid w:val="007A12FF"/>
    <w:rsid w:val="007A3770"/>
    <w:rsid w:val="007A4450"/>
    <w:rsid w:val="007A540B"/>
    <w:rsid w:val="007A69D0"/>
    <w:rsid w:val="007B17A6"/>
    <w:rsid w:val="007B1CEF"/>
    <w:rsid w:val="007B5856"/>
    <w:rsid w:val="007C066C"/>
    <w:rsid w:val="007C0EE8"/>
    <w:rsid w:val="007C2048"/>
    <w:rsid w:val="007C4A31"/>
    <w:rsid w:val="007C569E"/>
    <w:rsid w:val="007C742B"/>
    <w:rsid w:val="007D07B8"/>
    <w:rsid w:val="007D0FE8"/>
    <w:rsid w:val="007D1D39"/>
    <w:rsid w:val="007D4E6E"/>
    <w:rsid w:val="007D5E41"/>
    <w:rsid w:val="007D6047"/>
    <w:rsid w:val="007E1B81"/>
    <w:rsid w:val="007E221C"/>
    <w:rsid w:val="007E58FD"/>
    <w:rsid w:val="007E6ECC"/>
    <w:rsid w:val="007E7B67"/>
    <w:rsid w:val="007F1913"/>
    <w:rsid w:val="007F2814"/>
    <w:rsid w:val="007F339A"/>
    <w:rsid w:val="007F39CA"/>
    <w:rsid w:val="007F57A1"/>
    <w:rsid w:val="008025D6"/>
    <w:rsid w:val="00803137"/>
    <w:rsid w:val="0080612E"/>
    <w:rsid w:val="008064A7"/>
    <w:rsid w:val="008068B4"/>
    <w:rsid w:val="0081059B"/>
    <w:rsid w:val="00810D57"/>
    <w:rsid w:val="00810F71"/>
    <w:rsid w:val="00811271"/>
    <w:rsid w:val="008164D0"/>
    <w:rsid w:val="00816F92"/>
    <w:rsid w:val="0081766C"/>
    <w:rsid w:val="0082026E"/>
    <w:rsid w:val="00820BAB"/>
    <w:rsid w:val="00824040"/>
    <w:rsid w:val="00824440"/>
    <w:rsid w:val="00827A9C"/>
    <w:rsid w:val="00832DE8"/>
    <w:rsid w:val="008333FF"/>
    <w:rsid w:val="00835040"/>
    <w:rsid w:val="008364AA"/>
    <w:rsid w:val="008368B4"/>
    <w:rsid w:val="00837B81"/>
    <w:rsid w:val="0084361F"/>
    <w:rsid w:val="00843D8B"/>
    <w:rsid w:val="008443DC"/>
    <w:rsid w:val="00847DDD"/>
    <w:rsid w:val="008503FA"/>
    <w:rsid w:val="00850618"/>
    <w:rsid w:val="00852731"/>
    <w:rsid w:val="008530BD"/>
    <w:rsid w:val="0085558A"/>
    <w:rsid w:val="00855F64"/>
    <w:rsid w:val="00857136"/>
    <w:rsid w:val="008578F9"/>
    <w:rsid w:val="00861103"/>
    <w:rsid w:val="00863253"/>
    <w:rsid w:val="008633FC"/>
    <w:rsid w:val="00863771"/>
    <w:rsid w:val="008638CF"/>
    <w:rsid w:val="00865715"/>
    <w:rsid w:val="00866C5A"/>
    <w:rsid w:val="008733C0"/>
    <w:rsid w:val="00873D84"/>
    <w:rsid w:val="00875585"/>
    <w:rsid w:val="0087695C"/>
    <w:rsid w:val="0087744D"/>
    <w:rsid w:val="008801DB"/>
    <w:rsid w:val="0088042D"/>
    <w:rsid w:val="008805BB"/>
    <w:rsid w:val="008819EB"/>
    <w:rsid w:val="00881DCE"/>
    <w:rsid w:val="0088267F"/>
    <w:rsid w:val="00883426"/>
    <w:rsid w:val="0088446E"/>
    <w:rsid w:val="00887957"/>
    <w:rsid w:val="008901CA"/>
    <w:rsid w:val="0089124C"/>
    <w:rsid w:val="00892CE5"/>
    <w:rsid w:val="00894A89"/>
    <w:rsid w:val="00894F1A"/>
    <w:rsid w:val="00895083"/>
    <w:rsid w:val="00895EFE"/>
    <w:rsid w:val="008965ED"/>
    <w:rsid w:val="00897E2A"/>
    <w:rsid w:val="008A06C7"/>
    <w:rsid w:val="008A1B38"/>
    <w:rsid w:val="008A430A"/>
    <w:rsid w:val="008A4761"/>
    <w:rsid w:val="008A5286"/>
    <w:rsid w:val="008A73EF"/>
    <w:rsid w:val="008B0867"/>
    <w:rsid w:val="008B0FE8"/>
    <w:rsid w:val="008B2E4E"/>
    <w:rsid w:val="008B4375"/>
    <w:rsid w:val="008B6166"/>
    <w:rsid w:val="008B6D18"/>
    <w:rsid w:val="008C09CB"/>
    <w:rsid w:val="008C26C0"/>
    <w:rsid w:val="008C4559"/>
    <w:rsid w:val="008C6F8A"/>
    <w:rsid w:val="008C7BD8"/>
    <w:rsid w:val="008D0D06"/>
    <w:rsid w:val="008D6710"/>
    <w:rsid w:val="008D68DC"/>
    <w:rsid w:val="008E044A"/>
    <w:rsid w:val="008E051A"/>
    <w:rsid w:val="008E058A"/>
    <w:rsid w:val="008E52B3"/>
    <w:rsid w:val="008E6E68"/>
    <w:rsid w:val="008F1993"/>
    <w:rsid w:val="008F1EEF"/>
    <w:rsid w:val="008F22F4"/>
    <w:rsid w:val="008F2533"/>
    <w:rsid w:val="008F588C"/>
    <w:rsid w:val="008F7A2C"/>
    <w:rsid w:val="00900AEC"/>
    <w:rsid w:val="00901593"/>
    <w:rsid w:val="00901635"/>
    <w:rsid w:val="009038B7"/>
    <w:rsid w:val="00904F43"/>
    <w:rsid w:val="0091045F"/>
    <w:rsid w:val="00920402"/>
    <w:rsid w:val="00922C6A"/>
    <w:rsid w:val="009244F3"/>
    <w:rsid w:val="00931D72"/>
    <w:rsid w:val="00932E54"/>
    <w:rsid w:val="00933885"/>
    <w:rsid w:val="00935D8B"/>
    <w:rsid w:val="009404BA"/>
    <w:rsid w:val="009415B3"/>
    <w:rsid w:val="00945188"/>
    <w:rsid w:val="0094726B"/>
    <w:rsid w:val="00947FAE"/>
    <w:rsid w:val="009513D1"/>
    <w:rsid w:val="00951415"/>
    <w:rsid w:val="0095333D"/>
    <w:rsid w:val="00953ACC"/>
    <w:rsid w:val="00953DAD"/>
    <w:rsid w:val="00954A06"/>
    <w:rsid w:val="00954ED4"/>
    <w:rsid w:val="00956E2D"/>
    <w:rsid w:val="00960B94"/>
    <w:rsid w:val="009615F3"/>
    <w:rsid w:val="0096347B"/>
    <w:rsid w:val="0096403F"/>
    <w:rsid w:val="00965452"/>
    <w:rsid w:val="00965589"/>
    <w:rsid w:val="0096575C"/>
    <w:rsid w:val="0096670C"/>
    <w:rsid w:val="00967E4F"/>
    <w:rsid w:val="00970F79"/>
    <w:rsid w:val="009710A0"/>
    <w:rsid w:val="0097405E"/>
    <w:rsid w:val="0097483D"/>
    <w:rsid w:val="00975DBB"/>
    <w:rsid w:val="0097676E"/>
    <w:rsid w:val="00977017"/>
    <w:rsid w:val="00980770"/>
    <w:rsid w:val="009817A2"/>
    <w:rsid w:val="009842DA"/>
    <w:rsid w:val="00990DD8"/>
    <w:rsid w:val="0099103B"/>
    <w:rsid w:val="009A13EE"/>
    <w:rsid w:val="009B187C"/>
    <w:rsid w:val="009B1912"/>
    <w:rsid w:val="009B309E"/>
    <w:rsid w:val="009B38EB"/>
    <w:rsid w:val="009B41F7"/>
    <w:rsid w:val="009B5057"/>
    <w:rsid w:val="009B577C"/>
    <w:rsid w:val="009B63BC"/>
    <w:rsid w:val="009B7A43"/>
    <w:rsid w:val="009C2487"/>
    <w:rsid w:val="009C2AFB"/>
    <w:rsid w:val="009C3193"/>
    <w:rsid w:val="009C3EAC"/>
    <w:rsid w:val="009C56A3"/>
    <w:rsid w:val="009C5EA5"/>
    <w:rsid w:val="009C6A2A"/>
    <w:rsid w:val="009C6D7C"/>
    <w:rsid w:val="009D1DD1"/>
    <w:rsid w:val="009D2EE5"/>
    <w:rsid w:val="009D3396"/>
    <w:rsid w:val="009E1029"/>
    <w:rsid w:val="009E2E3B"/>
    <w:rsid w:val="009E39E3"/>
    <w:rsid w:val="009E6BD0"/>
    <w:rsid w:val="009E74A2"/>
    <w:rsid w:val="009E75BF"/>
    <w:rsid w:val="009F0145"/>
    <w:rsid w:val="009F145D"/>
    <w:rsid w:val="009F1DDA"/>
    <w:rsid w:val="009F371A"/>
    <w:rsid w:val="009F4170"/>
    <w:rsid w:val="009F7761"/>
    <w:rsid w:val="009F7D5A"/>
    <w:rsid w:val="00A025FC"/>
    <w:rsid w:val="00A02914"/>
    <w:rsid w:val="00A04296"/>
    <w:rsid w:val="00A04EC1"/>
    <w:rsid w:val="00A05439"/>
    <w:rsid w:val="00A0674F"/>
    <w:rsid w:val="00A0746D"/>
    <w:rsid w:val="00A103FC"/>
    <w:rsid w:val="00A12845"/>
    <w:rsid w:val="00A12D1F"/>
    <w:rsid w:val="00A12D91"/>
    <w:rsid w:val="00A13AA4"/>
    <w:rsid w:val="00A13E69"/>
    <w:rsid w:val="00A14AF7"/>
    <w:rsid w:val="00A17D52"/>
    <w:rsid w:val="00A2129F"/>
    <w:rsid w:val="00A22B73"/>
    <w:rsid w:val="00A22F86"/>
    <w:rsid w:val="00A2508F"/>
    <w:rsid w:val="00A251B5"/>
    <w:rsid w:val="00A25A25"/>
    <w:rsid w:val="00A27535"/>
    <w:rsid w:val="00A31853"/>
    <w:rsid w:val="00A319BA"/>
    <w:rsid w:val="00A34F2E"/>
    <w:rsid w:val="00A40C5D"/>
    <w:rsid w:val="00A40FFF"/>
    <w:rsid w:val="00A41D32"/>
    <w:rsid w:val="00A42B5D"/>
    <w:rsid w:val="00A44D5E"/>
    <w:rsid w:val="00A44F79"/>
    <w:rsid w:val="00A450F0"/>
    <w:rsid w:val="00A45104"/>
    <w:rsid w:val="00A531FD"/>
    <w:rsid w:val="00A55FBF"/>
    <w:rsid w:val="00A565D6"/>
    <w:rsid w:val="00A60F87"/>
    <w:rsid w:val="00A616DA"/>
    <w:rsid w:val="00A61F7D"/>
    <w:rsid w:val="00A61FA7"/>
    <w:rsid w:val="00A63EF0"/>
    <w:rsid w:val="00A674B8"/>
    <w:rsid w:val="00A7035B"/>
    <w:rsid w:val="00A70F5A"/>
    <w:rsid w:val="00A71CA6"/>
    <w:rsid w:val="00A73B8A"/>
    <w:rsid w:val="00A768DC"/>
    <w:rsid w:val="00A81E6C"/>
    <w:rsid w:val="00A82EF7"/>
    <w:rsid w:val="00A84C03"/>
    <w:rsid w:val="00A854D4"/>
    <w:rsid w:val="00A91975"/>
    <w:rsid w:val="00A9205E"/>
    <w:rsid w:val="00A9487E"/>
    <w:rsid w:val="00A96599"/>
    <w:rsid w:val="00A96847"/>
    <w:rsid w:val="00A971DB"/>
    <w:rsid w:val="00A972D3"/>
    <w:rsid w:val="00AA0E19"/>
    <w:rsid w:val="00AA191F"/>
    <w:rsid w:val="00AA1D6F"/>
    <w:rsid w:val="00AA22F2"/>
    <w:rsid w:val="00AA2711"/>
    <w:rsid w:val="00AA795D"/>
    <w:rsid w:val="00AB1B9B"/>
    <w:rsid w:val="00AB2C86"/>
    <w:rsid w:val="00AB2ED4"/>
    <w:rsid w:val="00AB357C"/>
    <w:rsid w:val="00AB6135"/>
    <w:rsid w:val="00AB7652"/>
    <w:rsid w:val="00AC0103"/>
    <w:rsid w:val="00AC0EFF"/>
    <w:rsid w:val="00AC3D72"/>
    <w:rsid w:val="00AC4E10"/>
    <w:rsid w:val="00AC5090"/>
    <w:rsid w:val="00AC63F9"/>
    <w:rsid w:val="00AC708D"/>
    <w:rsid w:val="00AD022F"/>
    <w:rsid w:val="00AD14EE"/>
    <w:rsid w:val="00AD55D7"/>
    <w:rsid w:val="00AE07F6"/>
    <w:rsid w:val="00AE25E7"/>
    <w:rsid w:val="00AE3020"/>
    <w:rsid w:val="00AE6C10"/>
    <w:rsid w:val="00AE752E"/>
    <w:rsid w:val="00AF1424"/>
    <w:rsid w:val="00AF147B"/>
    <w:rsid w:val="00AF1D1E"/>
    <w:rsid w:val="00B0031E"/>
    <w:rsid w:val="00B02492"/>
    <w:rsid w:val="00B03396"/>
    <w:rsid w:val="00B04A8B"/>
    <w:rsid w:val="00B05D93"/>
    <w:rsid w:val="00B05FA1"/>
    <w:rsid w:val="00B063B8"/>
    <w:rsid w:val="00B12746"/>
    <w:rsid w:val="00B13723"/>
    <w:rsid w:val="00B13F58"/>
    <w:rsid w:val="00B15E33"/>
    <w:rsid w:val="00B15FDE"/>
    <w:rsid w:val="00B20EC7"/>
    <w:rsid w:val="00B2110F"/>
    <w:rsid w:val="00B2155D"/>
    <w:rsid w:val="00B23159"/>
    <w:rsid w:val="00B23B87"/>
    <w:rsid w:val="00B24CAC"/>
    <w:rsid w:val="00B27B4B"/>
    <w:rsid w:val="00B3081F"/>
    <w:rsid w:val="00B30926"/>
    <w:rsid w:val="00B31FCF"/>
    <w:rsid w:val="00B332D5"/>
    <w:rsid w:val="00B34073"/>
    <w:rsid w:val="00B36F67"/>
    <w:rsid w:val="00B376D1"/>
    <w:rsid w:val="00B37CCB"/>
    <w:rsid w:val="00B4020D"/>
    <w:rsid w:val="00B409D5"/>
    <w:rsid w:val="00B419D9"/>
    <w:rsid w:val="00B43951"/>
    <w:rsid w:val="00B443A6"/>
    <w:rsid w:val="00B454F7"/>
    <w:rsid w:val="00B50E7A"/>
    <w:rsid w:val="00B564F8"/>
    <w:rsid w:val="00B571CC"/>
    <w:rsid w:val="00B575A4"/>
    <w:rsid w:val="00B60DD4"/>
    <w:rsid w:val="00B62B96"/>
    <w:rsid w:val="00B64DCA"/>
    <w:rsid w:val="00B6570F"/>
    <w:rsid w:val="00B66CC7"/>
    <w:rsid w:val="00B71A46"/>
    <w:rsid w:val="00B765BE"/>
    <w:rsid w:val="00B82296"/>
    <w:rsid w:val="00B8241A"/>
    <w:rsid w:val="00B87A2F"/>
    <w:rsid w:val="00B96E13"/>
    <w:rsid w:val="00BA045D"/>
    <w:rsid w:val="00BA0F92"/>
    <w:rsid w:val="00BA1871"/>
    <w:rsid w:val="00BA1FAF"/>
    <w:rsid w:val="00BA2098"/>
    <w:rsid w:val="00BA27A0"/>
    <w:rsid w:val="00BA27B3"/>
    <w:rsid w:val="00BA295C"/>
    <w:rsid w:val="00BA497F"/>
    <w:rsid w:val="00BA66DB"/>
    <w:rsid w:val="00BA67CA"/>
    <w:rsid w:val="00BA6F96"/>
    <w:rsid w:val="00BB166C"/>
    <w:rsid w:val="00BB1931"/>
    <w:rsid w:val="00BB3555"/>
    <w:rsid w:val="00BB488B"/>
    <w:rsid w:val="00BB55E2"/>
    <w:rsid w:val="00BC106E"/>
    <w:rsid w:val="00BC11C7"/>
    <w:rsid w:val="00BC1822"/>
    <w:rsid w:val="00BC1884"/>
    <w:rsid w:val="00BC306C"/>
    <w:rsid w:val="00BC5884"/>
    <w:rsid w:val="00BC6078"/>
    <w:rsid w:val="00BC6137"/>
    <w:rsid w:val="00BC7E4C"/>
    <w:rsid w:val="00BD2031"/>
    <w:rsid w:val="00BD29B2"/>
    <w:rsid w:val="00BD3901"/>
    <w:rsid w:val="00BD45C0"/>
    <w:rsid w:val="00BD61F7"/>
    <w:rsid w:val="00BE010C"/>
    <w:rsid w:val="00BE093F"/>
    <w:rsid w:val="00BE2144"/>
    <w:rsid w:val="00BE2C70"/>
    <w:rsid w:val="00BE4142"/>
    <w:rsid w:val="00BE4B0D"/>
    <w:rsid w:val="00BE5697"/>
    <w:rsid w:val="00BE645E"/>
    <w:rsid w:val="00BE6FA6"/>
    <w:rsid w:val="00BE79AC"/>
    <w:rsid w:val="00BF0CFD"/>
    <w:rsid w:val="00BF2BF3"/>
    <w:rsid w:val="00BF53E3"/>
    <w:rsid w:val="00BF722D"/>
    <w:rsid w:val="00BF7334"/>
    <w:rsid w:val="00BF7815"/>
    <w:rsid w:val="00C0073E"/>
    <w:rsid w:val="00C04135"/>
    <w:rsid w:val="00C06F2C"/>
    <w:rsid w:val="00C12116"/>
    <w:rsid w:val="00C134EC"/>
    <w:rsid w:val="00C15618"/>
    <w:rsid w:val="00C177A6"/>
    <w:rsid w:val="00C21324"/>
    <w:rsid w:val="00C21E1A"/>
    <w:rsid w:val="00C228BF"/>
    <w:rsid w:val="00C240FB"/>
    <w:rsid w:val="00C247EF"/>
    <w:rsid w:val="00C2533B"/>
    <w:rsid w:val="00C276BA"/>
    <w:rsid w:val="00C30691"/>
    <w:rsid w:val="00C338B1"/>
    <w:rsid w:val="00C34342"/>
    <w:rsid w:val="00C37ACE"/>
    <w:rsid w:val="00C41384"/>
    <w:rsid w:val="00C42377"/>
    <w:rsid w:val="00C42C0C"/>
    <w:rsid w:val="00C43275"/>
    <w:rsid w:val="00C446EF"/>
    <w:rsid w:val="00C468AE"/>
    <w:rsid w:val="00C50D11"/>
    <w:rsid w:val="00C51247"/>
    <w:rsid w:val="00C52611"/>
    <w:rsid w:val="00C52831"/>
    <w:rsid w:val="00C54B45"/>
    <w:rsid w:val="00C5502F"/>
    <w:rsid w:val="00C551DC"/>
    <w:rsid w:val="00C5530E"/>
    <w:rsid w:val="00C55313"/>
    <w:rsid w:val="00C56775"/>
    <w:rsid w:val="00C56776"/>
    <w:rsid w:val="00C571A8"/>
    <w:rsid w:val="00C60002"/>
    <w:rsid w:val="00C62AA0"/>
    <w:rsid w:val="00C656B4"/>
    <w:rsid w:val="00C65CE6"/>
    <w:rsid w:val="00C70761"/>
    <w:rsid w:val="00C70CED"/>
    <w:rsid w:val="00C72618"/>
    <w:rsid w:val="00C733DA"/>
    <w:rsid w:val="00C745B4"/>
    <w:rsid w:val="00C774B8"/>
    <w:rsid w:val="00C7755F"/>
    <w:rsid w:val="00C82538"/>
    <w:rsid w:val="00C8353C"/>
    <w:rsid w:val="00C842E2"/>
    <w:rsid w:val="00C85B78"/>
    <w:rsid w:val="00C86AD2"/>
    <w:rsid w:val="00C877C7"/>
    <w:rsid w:val="00C87805"/>
    <w:rsid w:val="00C9061B"/>
    <w:rsid w:val="00C93344"/>
    <w:rsid w:val="00C937BD"/>
    <w:rsid w:val="00C93C5A"/>
    <w:rsid w:val="00C94A58"/>
    <w:rsid w:val="00C96EE2"/>
    <w:rsid w:val="00C97F97"/>
    <w:rsid w:val="00CA1313"/>
    <w:rsid w:val="00CA267C"/>
    <w:rsid w:val="00CA2710"/>
    <w:rsid w:val="00CA2AA4"/>
    <w:rsid w:val="00CA2F21"/>
    <w:rsid w:val="00CA3D91"/>
    <w:rsid w:val="00CA4178"/>
    <w:rsid w:val="00CA49B1"/>
    <w:rsid w:val="00CB2389"/>
    <w:rsid w:val="00CB5AC6"/>
    <w:rsid w:val="00CB758B"/>
    <w:rsid w:val="00CC05D7"/>
    <w:rsid w:val="00CC2A60"/>
    <w:rsid w:val="00CC3861"/>
    <w:rsid w:val="00CC443C"/>
    <w:rsid w:val="00CC655F"/>
    <w:rsid w:val="00CC6579"/>
    <w:rsid w:val="00CD1E2A"/>
    <w:rsid w:val="00CD33FE"/>
    <w:rsid w:val="00CD3AED"/>
    <w:rsid w:val="00CD52B0"/>
    <w:rsid w:val="00CD77A1"/>
    <w:rsid w:val="00CE36C6"/>
    <w:rsid w:val="00CF1288"/>
    <w:rsid w:val="00CF13B2"/>
    <w:rsid w:val="00CF1D58"/>
    <w:rsid w:val="00CF268B"/>
    <w:rsid w:val="00CF3B7F"/>
    <w:rsid w:val="00CF4FB9"/>
    <w:rsid w:val="00CF51C2"/>
    <w:rsid w:val="00D003E8"/>
    <w:rsid w:val="00D005B8"/>
    <w:rsid w:val="00D00972"/>
    <w:rsid w:val="00D0351D"/>
    <w:rsid w:val="00D035D9"/>
    <w:rsid w:val="00D03B5F"/>
    <w:rsid w:val="00D0415A"/>
    <w:rsid w:val="00D045A3"/>
    <w:rsid w:val="00D07E3C"/>
    <w:rsid w:val="00D12177"/>
    <w:rsid w:val="00D12644"/>
    <w:rsid w:val="00D14471"/>
    <w:rsid w:val="00D158C5"/>
    <w:rsid w:val="00D1648D"/>
    <w:rsid w:val="00D225DA"/>
    <w:rsid w:val="00D230A7"/>
    <w:rsid w:val="00D25212"/>
    <w:rsid w:val="00D26CB2"/>
    <w:rsid w:val="00D2705A"/>
    <w:rsid w:val="00D30C5B"/>
    <w:rsid w:val="00D30E8E"/>
    <w:rsid w:val="00D344C8"/>
    <w:rsid w:val="00D35060"/>
    <w:rsid w:val="00D353D0"/>
    <w:rsid w:val="00D37087"/>
    <w:rsid w:val="00D40D9E"/>
    <w:rsid w:val="00D42B49"/>
    <w:rsid w:val="00D430A9"/>
    <w:rsid w:val="00D44993"/>
    <w:rsid w:val="00D477BC"/>
    <w:rsid w:val="00D521E7"/>
    <w:rsid w:val="00D522AF"/>
    <w:rsid w:val="00D53863"/>
    <w:rsid w:val="00D5414A"/>
    <w:rsid w:val="00D565DF"/>
    <w:rsid w:val="00D57B4E"/>
    <w:rsid w:val="00D60179"/>
    <w:rsid w:val="00D61E6D"/>
    <w:rsid w:val="00D630D6"/>
    <w:rsid w:val="00D645CB"/>
    <w:rsid w:val="00D65BC7"/>
    <w:rsid w:val="00D66E7B"/>
    <w:rsid w:val="00D67AFF"/>
    <w:rsid w:val="00D70682"/>
    <w:rsid w:val="00D71108"/>
    <w:rsid w:val="00D72F4D"/>
    <w:rsid w:val="00D74261"/>
    <w:rsid w:val="00D75B05"/>
    <w:rsid w:val="00D764DC"/>
    <w:rsid w:val="00D7678A"/>
    <w:rsid w:val="00D82C60"/>
    <w:rsid w:val="00D8553B"/>
    <w:rsid w:val="00D9214C"/>
    <w:rsid w:val="00D9349F"/>
    <w:rsid w:val="00D97339"/>
    <w:rsid w:val="00DA00FD"/>
    <w:rsid w:val="00DA029B"/>
    <w:rsid w:val="00DA05B3"/>
    <w:rsid w:val="00DA3150"/>
    <w:rsid w:val="00DA5597"/>
    <w:rsid w:val="00DA59F0"/>
    <w:rsid w:val="00DA5E95"/>
    <w:rsid w:val="00DA74A3"/>
    <w:rsid w:val="00DB113D"/>
    <w:rsid w:val="00DB19E9"/>
    <w:rsid w:val="00DB1B7B"/>
    <w:rsid w:val="00DB3289"/>
    <w:rsid w:val="00DB5F5A"/>
    <w:rsid w:val="00DB73E1"/>
    <w:rsid w:val="00DC1F8D"/>
    <w:rsid w:val="00DC3D02"/>
    <w:rsid w:val="00DC62A1"/>
    <w:rsid w:val="00DC6538"/>
    <w:rsid w:val="00DC6ED0"/>
    <w:rsid w:val="00DC71B6"/>
    <w:rsid w:val="00DD0D9F"/>
    <w:rsid w:val="00DD4B05"/>
    <w:rsid w:val="00DD51FB"/>
    <w:rsid w:val="00DD7FC7"/>
    <w:rsid w:val="00DE321D"/>
    <w:rsid w:val="00DE52AE"/>
    <w:rsid w:val="00DF0BCE"/>
    <w:rsid w:val="00DF2C60"/>
    <w:rsid w:val="00DF32F1"/>
    <w:rsid w:val="00DF3E3A"/>
    <w:rsid w:val="00DF482A"/>
    <w:rsid w:val="00DF656B"/>
    <w:rsid w:val="00DF6665"/>
    <w:rsid w:val="00DF7670"/>
    <w:rsid w:val="00E02589"/>
    <w:rsid w:val="00E04FF3"/>
    <w:rsid w:val="00E07F2F"/>
    <w:rsid w:val="00E10428"/>
    <w:rsid w:val="00E129A6"/>
    <w:rsid w:val="00E135D8"/>
    <w:rsid w:val="00E139A8"/>
    <w:rsid w:val="00E16148"/>
    <w:rsid w:val="00E1673D"/>
    <w:rsid w:val="00E22177"/>
    <w:rsid w:val="00E24B64"/>
    <w:rsid w:val="00E37C5A"/>
    <w:rsid w:val="00E401B1"/>
    <w:rsid w:val="00E408B2"/>
    <w:rsid w:val="00E40D49"/>
    <w:rsid w:val="00E40F91"/>
    <w:rsid w:val="00E429FC"/>
    <w:rsid w:val="00E42FF9"/>
    <w:rsid w:val="00E43220"/>
    <w:rsid w:val="00E4497F"/>
    <w:rsid w:val="00E452CB"/>
    <w:rsid w:val="00E46785"/>
    <w:rsid w:val="00E47B3F"/>
    <w:rsid w:val="00E50D1B"/>
    <w:rsid w:val="00E51E9B"/>
    <w:rsid w:val="00E52751"/>
    <w:rsid w:val="00E53960"/>
    <w:rsid w:val="00E54DD6"/>
    <w:rsid w:val="00E607C7"/>
    <w:rsid w:val="00E626E6"/>
    <w:rsid w:val="00E627BB"/>
    <w:rsid w:val="00E62EDE"/>
    <w:rsid w:val="00E64B78"/>
    <w:rsid w:val="00E665BC"/>
    <w:rsid w:val="00E6755A"/>
    <w:rsid w:val="00E71762"/>
    <w:rsid w:val="00E719F5"/>
    <w:rsid w:val="00E7475F"/>
    <w:rsid w:val="00E747B6"/>
    <w:rsid w:val="00E7485D"/>
    <w:rsid w:val="00E754A2"/>
    <w:rsid w:val="00E757AC"/>
    <w:rsid w:val="00E75AE8"/>
    <w:rsid w:val="00E82E04"/>
    <w:rsid w:val="00E83BC2"/>
    <w:rsid w:val="00E83E16"/>
    <w:rsid w:val="00E861C6"/>
    <w:rsid w:val="00E90014"/>
    <w:rsid w:val="00E92832"/>
    <w:rsid w:val="00E949DB"/>
    <w:rsid w:val="00EA0627"/>
    <w:rsid w:val="00EA14DF"/>
    <w:rsid w:val="00EA1C97"/>
    <w:rsid w:val="00EA3FE3"/>
    <w:rsid w:val="00EA4156"/>
    <w:rsid w:val="00EA44A4"/>
    <w:rsid w:val="00EA4A00"/>
    <w:rsid w:val="00EA4ABC"/>
    <w:rsid w:val="00EA5EF3"/>
    <w:rsid w:val="00EA6D53"/>
    <w:rsid w:val="00EA756A"/>
    <w:rsid w:val="00EA7601"/>
    <w:rsid w:val="00EA76F3"/>
    <w:rsid w:val="00EB02AB"/>
    <w:rsid w:val="00EB3CEC"/>
    <w:rsid w:val="00EB4C46"/>
    <w:rsid w:val="00EB56BD"/>
    <w:rsid w:val="00EB7683"/>
    <w:rsid w:val="00EC09EF"/>
    <w:rsid w:val="00EC0B58"/>
    <w:rsid w:val="00EC0DB0"/>
    <w:rsid w:val="00EC228E"/>
    <w:rsid w:val="00EC2BC3"/>
    <w:rsid w:val="00EC2EAA"/>
    <w:rsid w:val="00EC381C"/>
    <w:rsid w:val="00EC3C69"/>
    <w:rsid w:val="00EC6C37"/>
    <w:rsid w:val="00EC6D6A"/>
    <w:rsid w:val="00ED1800"/>
    <w:rsid w:val="00ED2116"/>
    <w:rsid w:val="00ED2AC8"/>
    <w:rsid w:val="00ED4043"/>
    <w:rsid w:val="00ED5728"/>
    <w:rsid w:val="00ED58C5"/>
    <w:rsid w:val="00ED5AF7"/>
    <w:rsid w:val="00ED69F0"/>
    <w:rsid w:val="00ED6E67"/>
    <w:rsid w:val="00ED7C08"/>
    <w:rsid w:val="00EE02D0"/>
    <w:rsid w:val="00EE3A1D"/>
    <w:rsid w:val="00EF246C"/>
    <w:rsid w:val="00F05E89"/>
    <w:rsid w:val="00F06FC0"/>
    <w:rsid w:val="00F07208"/>
    <w:rsid w:val="00F076A3"/>
    <w:rsid w:val="00F07CFE"/>
    <w:rsid w:val="00F11350"/>
    <w:rsid w:val="00F11FF2"/>
    <w:rsid w:val="00F12059"/>
    <w:rsid w:val="00F12B19"/>
    <w:rsid w:val="00F14304"/>
    <w:rsid w:val="00F16BDE"/>
    <w:rsid w:val="00F175E5"/>
    <w:rsid w:val="00F177C6"/>
    <w:rsid w:val="00F20EF7"/>
    <w:rsid w:val="00F2403C"/>
    <w:rsid w:val="00F241D0"/>
    <w:rsid w:val="00F2725A"/>
    <w:rsid w:val="00F3033D"/>
    <w:rsid w:val="00F31279"/>
    <w:rsid w:val="00F31CDB"/>
    <w:rsid w:val="00F323E9"/>
    <w:rsid w:val="00F33EA3"/>
    <w:rsid w:val="00F369FD"/>
    <w:rsid w:val="00F37616"/>
    <w:rsid w:val="00F40421"/>
    <w:rsid w:val="00F437B4"/>
    <w:rsid w:val="00F4432B"/>
    <w:rsid w:val="00F447A4"/>
    <w:rsid w:val="00F4490A"/>
    <w:rsid w:val="00F449A5"/>
    <w:rsid w:val="00F45790"/>
    <w:rsid w:val="00F505F9"/>
    <w:rsid w:val="00F50C51"/>
    <w:rsid w:val="00F51290"/>
    <w:rsid w:val="00F51FD9"/>
    <w:rsid w:val="00F53599"/>
    <w:rsid w:val="00F53E8E"/>
    <w:rsid w:val="00F5745E"/>
    <w:rsid w:val="00F66B32"/>
    <w:rsid w:val="00F67393"/>
    <w:rsid w:val="00F67FE6"/>
    <w:rsid w:val="00F70D43"/>
    <w:rsid w:val="00F71020"/>
    <w:rsid w:val="00F7252C"/>
    <w:rsid w:val="00F726E8"/>
    <w:rsid w:val="00F74D52"/>
    <w:rsid w:val="00F752AB"/>
    <w:rsid w:val="00F7669C"/>
    <w:rsid w:val="00F81641"/>
    <w:rsid w:val="00F81BF0"/>
    <w:rsid w:val="00F81C3A"/>
    <w:rsid w:val="00F83501"/>
    <w:rsid w:val="00F835D1"/>
    <w:rsid w:val="00F839CD"/>
    <w:rsid w:val="00F9097E"/>
    <w:rsid w:val="00F96301"/>
    <w:rsid w:val="00F96F57"/>
    <w:rsid w:val="00FA0609"/>
    <w:rsid w:val="00FA1C7B"/>
    <w:rsid w:val="00FA32CC"/>
    <w:rsid w:val="00FA462F"/>
    <w:rsid w:val="00FA5411"/>
    <w:rsid w:val="00FA5480"/>
    <w:rsid w:val="00FA73E8"/>
    <w:rsid w:val="00FA7853"/>
    <w:rsid w:val="00FB0BC4"/>
    <w:rsid w:val="00FB1AA6"/>
    <w:rsid w:val="00FB26D8"/>
    <w:rsid w:val="00FC0728"/>
    <w:rsid w:val="00FC3500"/>
    <w:rsid w:val="00FC492D"/>
    <w:rsid w:val="00FC4C19"/>
    <w:rsid w:val="00FC5EFE"/>
    <w:rsid w:val="00FD01F1"/>
    <w:rsid w:val="00FD1E83"/>
    <w:rsid w:val="00FD29DB"/>
    <w:rsid w:val="00FD3E52"/>
    <w:rsid w:val="00FD4281"/>
    <w:rsid w:val="00FE0151"/>
    <w:rsid w:val="00FE0FF6"/>
    <w:rsid w:val="00FE2A9C"/>
    <w:rsid w:val="00FE43F6"/>
    <w:rsid w:val="00FE5108"/>
    <w:rsid w:val="00FE665F"/>
    <w:rsid w:val="00FF037F"/>
    <w:rsid w:val="00FF1662"/>
    <w:rsid w:val="00FF2284"/>
    <w:rsid w:val="00FF5E50"/>
    <w:rsid w:val="00FF6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D1DB1"/>
  <w15:chartTrackingRefBased/>
  <w15:docId w15:val="{77C81378-FA20-4244-BD6D-6C1DBF91D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iPriority="0"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5E7"/>
    <w:rPr>
      <w:sz w:val="18"/>
      <w:szCs w:val="22"/>
      <w:lang w:eastAsia="en-US"/>
    </w:rPr>
  </w:style>
  <w:style w:type="paragraph" w:styleId="Heading1">
    <w:name w:val="heading 1"/>
    <w:basedOn w:val="Normal"/>
    <w:next w:val="BodyText"/>
    <w:link w:val="Heading1Char"/>
    <w:qFormat/>
    <w:rsid w:val="004C761D"/>
    <w:pPr>
      <w:keepNext/>
      <w:keepLines/>
      <w:numPr>
        <w:numId w:val="33"/>
      </w:numPr>
      <w:spacing w:after="580"/>
      <w:outlineLvl w:val="0"/>
    </w:pPr>
    <w:rPr>
      <w:rFonts w:eastAsia="Times New Roman"/>
      <w:b/>
      <w:bCs/>
      <w:color w:val="783CBD"/>
      <w:sz w:val="36"/>
      <w:szCs w:val="28"/>
    </w:rPr>
  </w:style>
  <w:style w:type="paragraph" w:styleId="Heading2">
    <w:name w:val="heading 2"/>
    <w:basedOn w:val="Heading1"/>
    <w:next w:val="BodyText"/>
    <w:link w:val="Heading2Char"/>
    <w:unhideWhenUsed/>
    <w:qFormat/>
    <w:rsid w:val="00EC2EAA"/>
    <w:pPr>
      <w:numPr>
        <w:ilvl w:val="1"/>
      </w:numPr>
      <w:spacing w:before="480" w:after="240"/>
      <w:outlineLvl w:val="1"/>
    </w:pPr>
    <w:rPr>
      <w:b w:val="0"/>
      <w:bCs w:val="0"/>
      <w:sz w:val="28"/>
      <w:szCs w:val="26"/>
    </w:rPr>
  </w:style>
  <w:style w:type="paragraph" w:styleId="Heading3">
    <w:name w:val="heading 3"/>
    <w:basedOn w:val="Heading2"/>
    <w:next w:val="BodyText"/>
    <w:link w:val="Heading3Char"/>
    <w:unhideWhenUsed/>
    <w:qFormat/>
    <w:rsid w:val="00441A9F"/>
    <w:pPr>
      <w:numPr>
        <w:ilvl w:val="0"/>
        <w:numId w:val="0"/>
      </w:numPr>
      <w:spacing w:after="200"/>
      <w:outlineLvl w:val="2"/>
    </w:pPr>
    <w:rPr>
      <w:b/>
      <w:bCs/>
      <w:sz w:val="18"/>
    </w:rPr>
  </w:style>
  <w:style w:type="paragraph" w:styleId="Heading4">
    <w:name w:val="heading 4"/>
    <w:basedOn w:val="Heading3"/>
    <w:next w:val="BodyText"/>
    <w:link w:val="Heading4Char"/>
    <w:uiPriority w:val="9"/>
    <w:semiHidden/>
    <w:qFormat/>
    <w:rsid w:val="006E2C6C"/>
    <w:pPr>
      <w:outlineLvl w:val="3"/>
    </w:pPr>
    <w:rPr>
      <w:bCs w:val="0"/>
      <w:iCs/>
    </w:rPr>
  </w:style>
  <w:style w:type="paragraph" w:styleId="Heading5">
    <w:name w:val="heading 5"/>
    <w:basedOn w:val="Heading4"/>
    <w:next w:val="BodyText"/>
    <w:link w:val="Heading5Char"/>
    <w:uiPriority w:val="9"/>
    <w:semiHidden/>
    <w:qFormat/>
    <w:rsid w:val="006E2C6C"/>
    <w:pPr>
      <w:outlineLvl w:val="4"/>
    </w:pPr>
    <w:rPr>
      <w:b w:val="0"/>
      <w:i/>
    </w:rPr>
  </w:style>
  <w:style w:type="paragraph" w:styleId="Heading6">
    <w:name w:val="heading 6"/>
    <w:basedOn w:val="Heading5"/>
    <w:next w:val="BodyText"/>
    <w:link w:val="Heading6Char"/>
    <w:uiPriority w:val="9"/>
    <w:semiHidden/>
    <w:qFormat/>
    <w:rsid w:val="006E2C6C"/>
    <w:pPr>
      <w:outlineLvl w:val="5"/>
    </w:pPr>
    <w:rPr>
      <w:i w:val="0"/>
      <w:iCs w:val="0"/>
    </w:rPr>
  </w:style>
  <w:style w:type="paragraph" w:styleId="Heading7">
    <w:name w:val="heading 7"/>
    <w:basedOn w:val="Normal"/>
    <w:next w:val="Normal"/>
    <w:link w:val="Heading7Char"/>
    <w:uiPriority w:val="9"/>
    <w:semiHidden/>
    <w:rsid w:val="006E2C6C"/>
    <w:pPr>
      <w:keepNext/>
      <w:keepLines/>
      <w:spacing w:before="200"/>
      <w:outlineLvl w:val="6"/>
    </w:pPr>
    <w:rPr>
      <w:rFonts w:eastAsia="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24040"/>
    <w:pPr>
      <w:tabs>
        <w:tab w:val="left" w:pos="737"/>
      </w:tabs>
      <w:spacing w:before="240" w:after="240" w:line="288" w:lineRule="auto"/>
    </w:pPr>
  </w:style>
  <w:style w:type="character" w:customStyle="1" w:styleId="BodyTextChar">
    <w:name w:val="Body Text Char"/>
    <w:link w:val="BodyText"/>
    <w:rsid w:val="00824040"/>
    <w:rPr>
      <w:sz w:val="18"/>
      <w:szCs w:val="22"/>
      <w:lang w:eastAsia="en-US"/>
    </w:rPr>
  </w:style>
  <w:style w:type="character" w:customStyle="1" w:styleId="Heading1Char">
    <w:name w:val="Heading 1 Char"/>
    <w:link w:val="Heading1"/>
    <w:rsid w:val="00C937BD"/>
    <w:rPr>
      <w:rFonts w:ascii="Arial" w:eastAsia="Times New Roman" w:hAnsi="Arial" w:cs="Times New Roman"/>
      <w:b/>
      <w:bCs/>
      <w:color w:val="783CBD"/>
      <w:sz w:val="36"/>
      <w:szCs w:val="28"/>
      <w:lang w:val="en-GB"/>
    </w:rPr>
  </w:style>
  <w:style w:type="character" w:customStyle="1" w:styleId="Heading2Char">
    <w:name w:val="Heading 2 Char"/>
    <w:link w:val="Heading2"/>
    <w:rsid w:val="00C937BD"/>
    <w:rPr>
      <w:rFonts w:ascii="Arial" w:eastAsia="Times New Roman" w:hAnsi="Arial" w:cs="Times New Roman"/>
      <w:color w:val="783CBD"/>
      <w:sz w:val="28"/>
      <w:szCs w:val="26"/>
      <w:lang w:val="en-GB"/>
    </w:rPr>
  </w:style>
  <w:style w:type="character" w:customStyle="1" w:styleId="Heading3Char">
    <w:name w:val="Heading 3 Char"/>
    <w:link w:val="Heading3"/>
    <w:rsid w:val="00C937BD"/>
    <w:rPr>
      <w:rFonts w:ascii="Arial" w:eastAsia="Times New Roman" w:hAnsi="Arial" w:cs="Times New Roman"/>
      <w:b/>
      <w:bCs/>
      <w:color w:val="783CBD"/>
      <w:sz w:val="18"/>
      <w:szCs w:val="26"/>
      <w:lang w:val="en-GB"/>
    </w:rPr>
  </w:style>
  <w:style w:type="character" w:customStyle="1" w:styleId="Heading4Char">
    <w:name w:val="Heading 4 Char"/>
    <w:link w:val="Heading4"/>
    <w:uiPriority w:val="9"/>
    <w:semiHidden/>
    <w:rsid w:val="00850618"/>
    <w:rPr>
      <w:rFonts w:ascii="Arial" w:eastAsia="Times New Roman" w:hAnsi="Arial" w:cs="Times New Roman"/>
      <w:b/>
      <w:iCs/>
      <w:color w:val="783CBD"/>
      <w:sz w:val="18"/>
      <w:szCs w:val="26"/>
      <w:lang w:val="en-GB"/>
    </w:rPr>
  </w:style>
  <w:style w:type="character" w:customStyle="1" w:styleId="Heading5Char">
    <w:name w:val="Heading 5 Char"/>
    <w:link w:val="Heading5"/>
    <w:uiPriority w:val="9"/>
    <w:semiHidden/>
    <w:rsid w:val="006E2C6C"/>
    <w:rPr>
      <w:rFonts w:eastAsia="Times New Roman" w:cs="Times New Roman"/>
      <w:i/>
      <w:iCs/>
      <w:color w:val="8A78B6"/>
      <w:sz w:val="18"/>
      <w:szCs w:val="26"/>
      <w:lang w:val="en-GB"/>
    </w:rPr>
  </w:style>
  <w:style w:type="character" w:customStyle="1" w:styleId="Heading6Char">
    <w:name w:val="Heading 6 Char"/>
    <w:link w:val="Heading6"/>
    <w:uiPriority w:val="9"/>
    <w:semiHidden/>
    <w:rsid w:val="006E2C6C"/>
    <w:rPr>
      <w:rFonts w:eastAsia="Times New Roman" w:cs="Times New Roman"/>
      <w:color w:val="8A78B6"/>
      <w:sz w:val="18"/>
      <w:szCs w:val="26"/>
      <w:lang w:val="en-GB"/>
    </w:rPr>
  </w:style>
  <w:style w:type="paragraph" w:customStyle="1" w:styleId="TableTextPurpleBold">
    <w:name w:val="Table Text Purple Bold"/>
    <w:basedOn w:val="TableTextPurple"/>
    <w:qFormat/>
    <w:rsid w:val="006E2C6C"/>
    <w:rPr>
      <w:b/>
    </w:rPr>
  </w:style>
  <w:style w:type="character" w:styleId="Hyperlink">
    <w:name w:val="Hyperlink"/>
    <w:uiPriority w:val="99"/>
    <w:unhideWhenUsed/>
    <w:rsid w:val="006E2C6C"/>
    <w:rPr>
      <w:color w:val="0000FF"/>
      <w:u w:val="single"/>
    </w:rPr>
  </w:style>
  <w:style w:type="paragraph" w:styleId="ListBullet">
    <w:name w:val="List Bullet"/>
    <w:basedOn w:val="BodyText"/>
    <w:unhideWhenUsed/>
    <w:qFormat/>
    <w:rsid w:val="00EC2EAA"/>
    <w:pPr>
      <w:numPr>
        <w:numId w:val="2"/>
      </w:numPr>
    </w:pPr>
  </w:style>
  <w:style w:type="character" w:customStyle="1" w:styleId="Heading7Char">
    <w:name w:val="Heading 7 Char"/>
    <w:link w:val="Heading7"/>
    <w:uiPriority w:val="9"/>
    <w:semiHidden/>
    <w:rsid w:val="006E2C6C"/>
    <w:rPr>
      <w:rFonts w:eastAsia="Times New Roman" w:cs="Times New Roman"/>
      <w:i/>
      <w:iCs/>
      <w:color w:val="404040"/>
      <w:sz w:val="18"/>
      <w:lang w:val="en-GB"/>
    </w:rPr>
  </w:style>
  <w:style w:type="paragraph" w:styleId="Footer">
    <w:name w:val="footer"/>
    <w:basedOn w:val="Normal"/>
    <w:link w:val="FooterChar"/>
    <w:uiPriority w:val="99"/>
    <w:unhideWhenUsed/>
    <w:rsid w:val="004E7D03"/>
    <w:pPr>
      <w:tabs>
        <w:tab w:val="center" w:pos="5103"/>
        <w:tab w:val="right" w:pos="10206"/>
      </w:tabs>
    </w:pPr>
    <w:rPr>
      <w:sz w:val="16"/>
    </w:rPr>
  </w:style>
  <w:style w:type="character" w:customStyle="1" w:styleId="FooterChar">
    <w:name w:val="Footer Char"/>
    <w:link w:val="Footer"/>
    <w:uiPriority w:val="99"/>
    <w:rsid w:val="004E7D03"/>
    <w:rPr>
      <w:rFonts w:ascii="Arial" w:hAnsi="Arial"/>
      <w:sz w:val="16"/>
      <w:lang w:val="en-GB"/>
    </w:rPr>
  </w:style>
  <w:style w:type="paragraph" w:styleId="Header">
    <w:name w:val="header"/>
    <w:basedOn w:val="Normal"/>
    <w:link w:val="HeaderChar"/>
    <w:uiPriority w:val="99"/>
    <w:unhideWhenUsed/>
    <w:rsid w:val="00AF1D1E"/>
    <w:pPr>
      <w:spacing w:line="300" w:lineRule="exact"/>
      <w:jc w:val="right"/>
    </w:pPr>
    <w:rPr>
      <w:b/>
      <w:color w:val="783CBD"/>
    </w:rPr>
  </w:style>
  <w:style w:type="character" w:customStyle="1" w:styleId="HeaderChar">
    <w:name w:val="Header Char"/>
    <w:link w:val="Header"/>
    <w:uiPriority w:val="99"/>
    <w:rsid w:val="00AF1D1E"/>
    <w:rPr>
      <w:rFonts w:ascii="Arial" w:hAnsi="Arial"/>
      <w:b/>
      <w:color w:val="783CBD"/>
      <w:sz w:val="18"/>
      <w:lang w:val="en-GB"/>
    </w:rPr>
  </w:style>
  <w:style w:type="character" w:styleId="PageNumber">
    <w:name w:val="page number"/>
    <w:uiPriority w:val="99"/>
    <w:semiHidden/>
    <w:unhideWhenUsed/>
    <w:rsid w:val="006E2C6C"/>
    <w:rPr>
      <w:rFonts w:ascii="Arial" w:hAnsi="Arial"/>
      <w:sz w:val="20"/>
    </w:rPr>
  </w:style>
  <w:style w:type="paragraph" w:styleId="Title">
    <w:name w:val="Title"/>
    <w:basedOn w:val="Normal"/>
    <w:link w:val="TitleChar"/>
    <w:uiPriority w:val="10"/>
    <w:qFormat/>
    <w:rsid w:val="00312B86"/>
    <w:pPr>
      <w:spacing w:after="240"/>
    </w:pPr>
    <w:rPr>
      <w:rFonts w:eastAsia="Times New Roman"/>
      <w:b/>
      <w:color w:val="783CBD"/>
      <w:kern w:val="28"/>
      <w:sz w:val="36"/>
      <w:szCs w:val="52"/>
    </w:rPr>
  </w:style>
  <w:style w:type="character" w:customStyle="1" w:styleId="TitleChar">
    <w:name w:val="Title Char"/>
    <w:link w:val="Title"/>
    <w:uiPriority w:val="10"/>
    <w:rsid w:val="00312B86"/>
    <w:rPr>
      <w:rFonts w:ascii="Arial" w:eastAsia="Times New Roman" w:hAnsi="Arial" w:cs="Times New Roman"/>
      <w:b/>
      <w:color w:val="783CBD"/>
      <w:kern w:val="28"/>
      <w:sz w:val="36"/>
      <w:szCs w:val="52"/>
      <w:lang w:val="en-GB"/>
    </w:rPr>
  </w:style>
  <w:style w:type="paragraph" w:styleId="TOC1">
    <w:name w:val="toc 1"/>
    <w:basedOn w:val="Normal"/>
    <w:next w:val="Normal"/>
    <w:uiPriority w:val="39"/>
    <w:unhideWhenUsed/>
    <w:rsid w:val="00DA59F0"/>
    <w:pPr>
      <w:numPr>
        <w:numId w:val="16"/>
      </w:numPr>
      <w:tabs>
        <w:tab w:val="left" w:pos="851"/>
        <w:tab w:val="right" w:pos="7371"/>
      </w:tabs>
      <w:spacing w:before="400" w:after="200"/>
    </w:pPr>
    <w:rPr>
      <w:b/>
      <w:color w:val="783CBD"/>
    </w:rPr>
  </w:style>
  <w:style w:type="paragraph" w:styleId="TOC3">
    <w:name w:val="toc 3"/>
    <w:basedOn w:val="Normal"/>
    <w:next w:val="Normal"/>
    <w:uiPriority w:val="39"/>
    <w:unhideWhenUsed/>
    <w:rsid w:val="00DA59F0"/>
    <w:pPr>
      <w:tabs>
        <w:tab w:val="right" w:pos="7371"/>
      </w:tabs>
      <w:spacing w:after="400"/>
      <w:ind w:left="624"/>
    </w:pPr>
    <w:rPr>
      <w:b/>
      <w:color w:val="783CBD"/>
    </w:rPr>
  </w:style>
  <w:style w:type="table" w:customStyle="1" w:styleId="Blank">
    <w:name w:val="Blank"/>
    <w:basedOn w:val="TableNormal"/>
    <w:uiPriority w:val="99"/>
    <w:rsid w:val="006E2C6C"/>
    <w:tblPr>
      <w:tblCellMar>
        <w:left w:w="0" w:type="dxa"/>
        <w:right w:w="0" w:type="dxa"/>
      </w:tblCellMar>
    </w:tblPr>
  </w:style>
  <w:style w:type="table" w:styleId="TableGrid">
    <w:name w:val="Table Grid"/>
    <w:basedOn w:val="TableNormal"/>
    <w:rsid w:val="006E2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Address">
    <w:name w:val="Cover Address"/>
    <w:basedOn w:val="Normal"/>
    <w:link w:val="CoverAddressChar"/>
    <w:qFormat/>
    <w:rsid w:val="00312B86"/>
    <w:pPr>
      <w:spacing w:after="240" w:line="288" w:lineRule="auto"/>
      <w:contextualSpacing/>
    </w:pPr>
    <w:rPr>
      <w:color w:val="7C7C7E"/>
      <w:sz w:val="36"/>
    </w:rPr>
  </w:style>
  <w:style w:type="paragraph" w:styleId="BalloonText">
    <w:name w:val="Balloon Text"/>
    <w:basedOn w:val="Normal"/>
    <w:link w:val="BalloonTextChar"/>
    <w:uiPriority w:val="99"/>
    <w:semiHidden/>
    <w:unhideWhenUsed/>
    <w:rsid w:val="006E2C6C"/>
    <w:rPr>
      <w:rFonts w:ascii="Tahoma" w:hAnsi="Tahoma" w:cs="Tahoma"/>
      <w:sz w:val="16"/>
      <w:szCs w:val="16"/>
    </w:rPr>
  </w:style>
  <w:style w:type="character" w:customStyle="1" w:styleId="BalloonTextChar">
    <w:name w:val="Balloon Text Char"/>
    <w:link w:val="BalloonText"/>
    <w:uiPriority w:val="99"/>
    <w:semiHidden/>
    <w:rsid w:val="006E2C6C"/>
    <w:rPr>
      <w:rFonts w:ascii="Tahoma" w:hAnsi="Tahoma" w:cs="Tahoma"/>
      <w:color w:val="000000"/>
      <w:sz w:val="16"/>
      <w:szCs w:val="16"/>
      <w:lang w:val="en-GB"/>
    </w:rPr>
  </w:style>
  <w:style w:type="paragraph" w:customStyle="1" w:styleId="Heading1NoNumber">
    <w:name w:val="Heading 1 No Number"/>
    <w:basedOn w:val="Heading1"/>
    <w:next w:val="BodyText"/>
    <w:qFormat/>
    <w:rsid w:val="006E2C6C"/>
    <w:pPr>
      <w:numPr>
        <w:numId w:val="0"/>
      </w:numPr>
    </w:pPr>
  </w:style>
  <w:style w:type="character" w:styleId="PlaceholderText">
    <w:name w:val="Placeholder Text"/>
    <w:uiPriority w:val="99"/>
    <w:rsid w:val="00BF0CFD"/>
    <w:rPr>
      <w:color w:val="FF3399"/>
    </w:rPr>
  </w:style>
  <w:style w:type="table" w:customStyle="1" w:styleId="PrefaceTable">
    <w:name w:val="Preface Table"/>
    <w:basedOn w:val="TableNormal"/>
    <w:uiPriority w:val="99"/>
    <w:rsid w:val="006E2C6C"/>
    <w:tblPr>
      <w:tblStyleRowBandSize w:val="1"/>
      <w:tblBorders>
        <w:bottom w:val="single" w:sz="4" w:space="0" w:color="8A78B6"/>
      </w:tblBorders>
      <w:tblCellMar>
        <w:top w:w="113" w:type="dxa"/>
        <w:bottom w:w="227" w:type="dxa"/>
      </w:tblCellMar>
    </w:tblPr>
    <w:tblStylePr w:type="firstRow">
      <w:tblPr/>
      <w:tcPr>
        <w:tcBorders>
          <w:top w:val="single" w:sz="4" w:space="0" w:color="8A78B6"/>
          <w:bottom w:val="single" w:sz="4" w:space="0" w:color="8A78B6"/>
        </w:tcBorders>
      </w:tcPr>
    </w:tblStylePr>
    <w:tblStylePr w:type="band1Horz">
      <w:tblPr/>
      <w:tcPr>
        <w:shd w:val="clear" w:color="auto" w:fill="D0C8E1"/>
      </w:tcPr>
    </w:tblStylePr>
  </w:style>
  <w:style w:type="paragraph" w:customStyle="1" w:styleId="Heading1NoTOC">
    <w:name w:val="Heading 1 No TOC"/>
    <w:basedOn w:val="Heading1"/>
    <w:next w:val="BodyText"/>
    <w:qFormat/>
    <w:rsid w:val="006E2C6C"/>
    <w:pPr>
      <w:numPr>
        <w:numId w:val="0"/>
      </w:numPr>
    </w:pPr>
  </w:style>
  <w:style w:type="table" w:customStyle="1" w:styleId="ExecutiveSummaryTable">
    <w:name w:val="Executive Summary Table"/>
    <w:basedOn w:val="TableNormal"/>
    <w:uiPriority w:val="99"/>
    <w:rsid w:val="006E2C6C"/>
    <w:tblPr>
      <w:tblBorders>
        <w:insideV w:val="single" w:sz="4" w:space="0" w:color="8A78B6"/>
      </w:tblBorders>
      <w:tblCellMar>
        <w:left w:w="0" w:type="dxa"/>
        <w:right w:w="0" w:type="dxa"/>
      </w:tblCellMar>
    </w:tblPr>
  </w:style>
  <w:style w:type="table" w:customStyle="1" w:styleId="CostsTable">
    <w:name w:val="Costs Table"/>
    <w:basedOn w:val="TableNormal"/>
    <w:uiPriority w:val="99"/>
    <w:rsid w:val="006E2C6C"/>
    <w:tblPr>
      <w:tblStyleRowBandSize w:val="1"/>
      <w:tblCellMar>
        <w:top w:w="57" w:type="dxa"/>
        <w:left w:w="0" w:type="dxa"/>
        <w:right w:w="0" w:type="dxa"/>
      </w:tblCellMar>
    </w:tblPr>
    <w:tblStylePr w:type="firstRow">
      <w:tblPr/>
      <w:tcPr>
        <w:tcBorders>
          <w:top w:val="single" w:sz="4" w:space="0" w:color="8A78B6"/>
          <w:left w:val="nil"/>
          <w:bottom w:val="single" w:sz="4" w:space="0" w:color="8A78B6"/>
          <w:right w:val="nil"/>
          <w:insideH w:val="nil"/>
          <w:insideV w:val="nil"/>
        </w:tcBorders>
        <w:shd w:val="clear" w:color="auto" w:fill="D0C8E1"/>
      </w:tcPr>
    </w:tblStylePr>
    <w:tblStylePr w:type="lastRow">
      <w:tblPr/>
      <w:tcPr>
        <w:tcBorders>
          <w:top w:val="single" w:sz="4" w:space="0" w:color="8A78B6"/>
          <w:bottom w:val="single" w:sz="4" w:space="0" w:color="8A78B6"/>
        </w:tcBorders>
        <w:shd w:val="clear" w:color="auto" w:fill="D0C8E1"/>
      </w:tcPr>
    </w:tblStylePr>
    <w:tblStylePr w:type="band2Horz">
      <w:tblPr/>
      <w:tcPr>
        <w:shd w:val="clear" w:color="auto" w:fill="D0C8E1"/>
      </w:tcPr>
    </w:tblStylePr>
  </w:style>
  <w:style w:type="paragraph" w:customStyle="1" w:styleId="TableTextPurple">
    <w:name w:val="Table Text Purple"/>
    <w:basedOn w:val="TableText"/>
    <w:qFormat/>
    <w:rsid w:val="00C85B78"/>
    <w:rPr>
      <w:color w:val="783CBD"/>
    </w:rPr>
  </w:style>
  <w:style w:type="numbering" w:customStyle="1" w:styleId="TFTNumberedHeadings">
    <w:name w:val="TFT Numbered Headings"/>
    <w:basedOn w:val="NoList"/>
    <w:uiPriority w:val="99"/>
    <w:rsid w:val="00FA32CC"/>
    <w:pPr>
      <w:numPr>
        <w:numId w:val="1"/>
      </w:numPr>
    </w:pPr>
  </w:style>
  <w:style w:type="paragraph" w:customStyle="1" w:styleId="ConditionReportNotes">
    <w:name w:val="Condition Report Notes"/>
    <w:basedOn w:val="BodyText"/>
    <w:qFormat/>
    <w:rsid w:val="00850618"/>
    <w:pPr>
      <w:tabs>
        <w:tab w:val="clear" w:pos="737"/>
      </w:tabs>
      <w:spacing w:before="0" w:after="0"/>
      <w:ind w:left="737"/>
    </w:pPr>
    <w:rPr>
      <w:i/>
    </w:rPr>
  </w:style>
  <w:style w:type="numbering" w:customStyle="1" w:styleId="TFTBullets">
    <w:name w:val="TFT Bullets"/>
    <w:basedOn w:val="NoList"/>
    <w:uiPriority w:val="99"/>
    <w:rsid w:val="00EC2EAA"/>
    <w:pPr>
      <w:numPr>
        <w:numId w:val="2"/>
      </w:numPr>
    </w:pPr>
  </w:style>
  <w:style w:type="paragraph" w:customStyle="1" w:styleId="BodyTextPurple">
    <w:name w:val="Body Text Purple"/>
    <w:basedOn w:val="BodyText"/>
    <w:qFormat/>
    <w:rsid w:val="00C85B78"/>
    <w:rPr>
      <w:color w:val="783CBD"/>
    </w:rPr>
  </w:style>
  <w:style w:type="paragraph" w:customStyle="1" w:styleId="ConditionReportHeading">
    <w:name w:val="Condition Report Heading"/>
    <w:basedOn w:val="Heading2"/>
    <w:next w:val="ConditionReportText"/>
    <w:qFormat/>
    <w:rsid w:val="00441A9F"/>
    <w:pPr>
      <w:numPr>
        <w:ilvl w:val="3"/>
      </w:numPr>
      <w:spacing w:before="0" w:after="0"/>
    </w:pPr>
    <w:rPr>
      <w:sz w:val="18"/>
    </w:rPr>
  </w:style>
  <w:style w:type="paragraph" w:customStyle="1" w:styleId="ConditionReportText">
    <w:name w:val="Condition Report Text"/>
    <w:basedOn w:val="BodyText"/>
    <w:next w:val="BodyTextIndented"/>
    <w:qFormat/>
    <w:rsid w:val="004C761D"/>
    <w:pPr>
      <w:numPr>
        <w:ilvl w:val="4"/>
        <w:numId w:val="33"/>
      </w:numPr>
      <w:tabs>
        <w:tab w:val="clear" w:pos="737"/>
      </w:tabs>
      <w:spacing w:before="0" w:after="0"/>
    </w:pPr>
    <w:rPr>
      <w:color w:val="000000" w:themeColor="text1"/>
    </w:rPr>
  </w:style>
  <w:style w:type="numbering" w:customStyle="1" w:styleId="TFTEnquiryBullets">
    <w:name w:val="TFT Enquiry Bullets"/>
    <w:basedOn w:val="NoList"/>
    <w:uiPriority w:val="99"/>
    <w:rsid w:val="00743FE2"/>
    <w:pPr>
      <w:numPr>
        <w:numId w:val="10"/>
      </w:numPr>
    </w:pPr>
  </w:style>
  <w:style w:type="paragraph" w:customStyle="1" w:styleId="Heading2NoNumber">
    <w:name w:val="Heading 2 No Number"/>
    <w:basedOn w:val="Heading2"/>
    <w:qFormat/>
    <w:rsid w:val="006E2C6C"/>
    <w:pPr>
      <w:numPr>
        <w:ilvl w:val="0"/>
        <w:numId w:val="0"/>
      </w:numPr>
      <w:spacing w:line="276" w:lineRule="auto"/>
    </w:pPr>
  </w:style>
  <w:style w:type="paragraph" w:customStyle="1" w:styleId="PhotographCaption">
    <w:name w:val="Photograph Caption"/>
    <w:basedOn w:val="Normal"/>
    <w:next w:val="Normal"/>
    <w:qFormat/>
    <w:rsid w:val="00731044"/>
    <w:pPr>
      <w:numPr>
        <w:numId w:val="6"/>
      </w:numPr>
      <w:jc w:val="center"/>
    </w:pPr>
    <w:rPr>
      <w:color w:val="000000" w:themeColor="text1"/>
    </w:rPr>
  </w:style>
  <w:style w:type="numbering" w:customStyle="1" w:styleId="TFTPhotographCaptionList">
    <w:name w:val="TFT Photograph Caption List"/>
    <w:basedOn w:val="NoList"/>
    <w:uiPriority w:val="99"/>
    <w:rsid w:val="00653196"/>
    <w:pPr>
      <w:numPr>
        <w:numId w:val="6"/>
      </w:numPr>
    </w:pPr>
  </w:style>
  <w:style w:type="paragraph" w:customStyle="1" w:styleId="TableTitle">
    <w:name w:val="Table Title"/>
    <w:basedOn w:val="Normal"/>
    <w:next w:val="TableText"/>
    <w:qFormat/>
    <w:rsid w:val="00504A25"/>
    <w:pPr>
      <w:spacing w:line="276" w:lineRule="auto"/>
    </w:pPr>
    <w:rPr>
      <w:color w:val="783CBD"/>
    </w:rPr>
  </w:style>
  <w:style w:type="paragraph" w:customStyle="1" w:styleId="TOCAppendicesHeading">
    <w:name w:val="TOC Appendices Heading"/>
    <w:basedOn w:val="Normal"/>
    <w:next w:val="TOCAppendices"/>
    <w:qFormat/>
    <w:rsid w:val="00DA59F0"/>
    <w:pPr>
      <w:spacing w:after="400"/>
      <w:ind w:left="624"/>
    </w:pPr>
    <w:rPr>
      <w:b/>
      <w:color w:val="783CBD"/>
    </w:rPr>
  </w:style>
  <w:style w:type="paragraph" w:customStyle="1" w:styleId="TOCAppendices">
    <w:name w:val="TOC Appendices"/>
    <w:basedOn w:val="TOCAppendicesHeading"/>
    <w:qFormat/>
    <w:rsid w:val="001878FA"/>
    <w:pPr>
      <w:tabs>
        <w:tab w:val="left" w:pos="1758"/>
      </w:tabs>
      <w:spacing w:after="200"/>
    </w:pPr>
    <w:rPr>
      <w:b w:val="0"/>
      <w:color w:val="auto"/>
    </w:rPr>
  </w:style>
  <w:style w:type="paragraph" w:customStyle="1" w:styleId="AppendixHeading">
    <w:name w:val="Appendix Heading"/>
    <w:basedOn w:val="Normal"/>
    <w:next w:val="BodyText"/>
    <w:qFormat/>
    <w:rsid w:val="007F2814"/>
    <w:pPr>
      <w:keepNext/>
      <w:keepLines/>
      <w:pageBreakBefore/>
      <w:spacing w:after="580"/>
      <w:outlineLvl w:val="0"/>
    </w:pPr>
    <w:rPr>
      <w:rFonts w:ascii="Arial Bold" w:hAnsi="Arial Bold"/>
      <w:b/>
      <w:color w:val="783CBD"/>
      <w:sz w:val="36"/>
    </w:rPr>
  </w:style>
  <w:style w:type="paragraph" w:styleId="ListParagraph">
    <w:name w:val="List Paragraph"/>
    <w:basedOn w:val="Normal"/>
    <w:qFormat/>
    <w:rsid w:val="001651FB"/>
    <w:pPr>
      <w:ind w:left="720"/>
      <w:contextualSpacing/>
    </w:pPr>
  </w:style>
  <w:style w:type="table" w:customStyle="1" w:styleId="TitleTable">
    <w:name w:val="Title Table"/>
    <w:basedOn w:val="TableNormal"/>
    <w:uiPriority w:val="99"/>
    <w:rsid w:val="006E2C6C"/>
    <w:tblPr>
      <w:tblBorders>
        <w:top w:val="single" w:sz="48" w:space="0" w:color="8A78B6"/>
        <w:insideH w:val="single" w:sz="4" w:space="0" w:color="8A78B6"/>
      </w:tblBorders>
    </w:tblPr>
  </w:style>
  <w:style w:type="table" w:customStyle="1" w:styleId="TitleTable1">
    <w:name w:val="Title Table1"/>
    <w:basedOn w:val="TableNormal"/>
    <w:uiPriority w:val="99"/>
    <w:rsid w:val="00843D8B"/>
    <w:tblPr>
      <w:tblBorders>
        <w:top w:val="single" w:sz="48" w:space="0" w:color="8A78B6"/>
        <w:insideH w:val="single" w:sz="4" w:space="0" w:color="8A78B6"/>
      </w:tblBorders>
    </w:tblPr>
  </w:style>
  <w:style w:type="numbering" w:customStyle="1" w:styleId="TFTNumbers">
    <w:name w:val="TFT Numbers"/>
    <w:basedOn w:val="TFTBullets"/>
    <w:uiPriority w:val="99"/>
    <w:rsid w:val="00604FBC"/>
    <w:pPr>
      <w:numPr>
        <w:numId w:val="11"/>
      </w:numPr>
    </w:pPr>
  </w:style>
  <w:style w:type="paragraph" w:styleId="ListNumber">
    <w:name w:val="List Number"/>
    <w:basedOn w:val="BodyText"/>
    <w:qFormat/>
    <w:rsid w:val="00604FBC"/>
    <w:pPr>
      <w:numPr>
        <w:numId w:val="7"/>
      </w:numPr>
      <w:tabs>
        <w:tab w:val="clear" w:pos="737"/>
      </w:tabs>
      <w:spacing w:before="120" w:after="120"/>
    </w:pPr>
  </w:style>
  <w:style w:type="character" w:styleId="CommentReference">
    <w:name w:val="annotation reference"/>
    <w:uiPriority w:val="99"/>
    <w:semiHidden/>
    <w:unhideWhenUsed/>
    <w:rsid w:val="0087744D"/>
    <w:rPr>
      <w:sz w:val="16"/>
      <w:szCs w:val="16"/>
    </w:rPr>
  </w:style>
  <w:style w:type="paragraph" w:styleId="CommentText">
    <w:name w:val="annotation text"/>
    <w:basedOn w:val="Normal"/>
    <w:link w:val="CommentTextChar"/>
    <w:uiPriority w:val="99"/>
    <w:semiHidden/>
    <w:unhideWhenUsed/>
    <w:rsid w:val="0087744D"/>
    <w:rPr>
      <w:sz w:val="20"/>
      <w:szCs w:val="20"/>
    </w:rPr>
  </w:style>
  <w:style w:type="character" w:customStyle="1" w:styleId="CommentTextChar">
    <w:name w:val="Comment Text Char"/>
    <w:link w:val="CommentText"/>
    <w:uiPriority w:val="99"/>
    <w:semiHidden/>
    <w:rsid w:val="0087744D"/>
    <w:rPr>
      <w:rFonts w:ascii="Arial" w:hAnsi="Arial"/>
      <w:color w:val="000000"/>
      <w:sz w:val="20"/>
      <w:szCs w:val="20"/>
      <w:lang w:val="en-GB"/>
    </w:rPr>
  </w:style>
  <w:style w:type="paragraph" w:styleId="CommentSubject">
    <w:name w:val="annotation subject"/>
    <w:basedOn w:val="CommentText"/>
    <w:next w:val="CommentText"/>
    <w:link w:val="CommentSubjectChar"/>
    <w:uiPriority w:val="99"/>
    <w:semiHidden/>
    <w:unhideWhenUsed/>
    <w:rsid w:val="0087744D"/>
    <w:rPr>
      <w:b/>
      <w:bCs/>
    </w:rPr>
  </w:style>
  <w:style w:type="character" w:customStyle="1" w:styleId="CommentSubjectChar">
    <w:name w:val="Comment Subject Char"/>
    <w:link w:val="CommentSubject"/>
    <w:uiPriority w:val="99"/>
    <w:semiHidden/>
    <w:rsid w:val="0087744D"/>
    <w:rPr>
      <w:rFonts w:ascii="Arial" w:hAnsi="Arial"/>
      <w:b/>
      <w:bCs/>
      <w:color w:val="000000"/>
      <w:sz w:val="20"/>
      <w:szCs w:val="20"/>
      <w:lang w:val="en-GB"/>
    </w:rPr>
  </w:style>
  <w:style w:type="table" w:customStyle="1" w:styleId="TableGrid1">
    <w:name w:val="Table Grid1"/>
    <w:basedOn w:val="TableNormal"/>
    <w:next w:val="TableGrid"/>
    <w:uiPriority w:val="59"/>
    <w:rsid w:val="00386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211B53"/>
    <w:rPr>
      <w:color w:val="808080"/>
      <w:shd w:val="clear" w:color="auto" w:fill="E6E6E6"/>
    </w:rPr>
  </w:style>
  <w:style w:type="paragraph" w:customStyle="1" w:styleId="FooterLandscape">
    <w:name w:val="Footer Landscape"/>
    <w:basedOn w:val="Footer"/>
    <w:rsid w:val="004E7D03"/>
    <w:pPr>
      <w:tabs>
        <w:tab w:val="clear" w:pos="5103"/>
        <w:tab w:val="clear" w:pos="10206"/>
        <w:tab w:val="center" w:pos="7570"/>
        <w:tab w:val="right" w:pos="15139"/>
      </w:tabs>
    </w:pPr>
    <w:rPr>
      <w:noProof/>
    </w:rPr>
  </w:style>
  <w:style w:type="paragraph" w:customStyle="1" w:styleId="PhotoRefColumn">
    <w:name w:val="Photo Ref Column"/>
    <w:basedOn w:val="BodyText"/>
    <w:link w:val="PhotoRefColumnChar"/>
    <w:qFormat/>
    <w:rsid w:val="001D74C0"/>
    <w:pPr>
      <w:spacing w:before="20" w:after="0"/>
      <w:ind w:right="28"/>
      <w:jc w:val="center"/>
    </w:pPr>
    <w:rPr>
      <w:color w:val="783CBD"/>
    </w:rPr>
  </w:style>
  <w:style w:type="paragraph" w:styleId="ListContinue">
    <w:name w:val="List Continue"/>
    <w:basedOn w:val="ListNumber"/>
    <w:qFormat/>
    <w:rsid w:val="001D4926"/>
    <w:pPr>
      <w:numPr>
        <w:numId w:val="0"/>
      </w:numPr>
    </w:pPr>
  </w:style>
  <w:style w:type="table" w:styleId="GridTable6Colorful-Accent1">
    <w:name w:val="Grid Table 6 Colorful Accent 1"/>
    <w:basedOn w:val="TableNormal"/>
    <w:uiPriority w:val="51"/>
    <w:rsid w:val="00C85B78"/>
    <w:rPr>
      <w:color w:val="783CBD"/>
    </w:rPr>
    <w:tblPr>
      <w:tblStyleRowBandSize w:val="1"/>
      <w:tblStyleColBandSize w:val="1"/>
      <w:tblBorders>
        <w:top w:val="single" w:sz="4" w:space="0" w:color="B8ADD3"/>
        <w:left w:val="single" w:sz="4" w:space="0" w:color="B8ADD3"/>
        <w:bottom w:val="single" w:sz="4" w:space="0" w:color="B8ADD3"/>
        <w:right w:val="single" w:sz="4" w:space="0" w:color="B8ADD3"/>
        <w:insideH w:val="single" w:sz="4" w:space="0" w:color="B8ADD3"/>
        <w:insideV w:val="single" w:sz="4" w:space="0" w:color="B8ADD3"/>
      </w:tblBorders>
    </w:tblPr>
    <w:tblStylePr w:type="firstRow">
      <w:rPr>
        <w:b/>
        <w:bCs/>
      </w:rPr>
      <w:tblPr/>
      <w:tcPr>
        <w:tcBorders>
          <w:bottom w:val="single" w:sz="12" w:space="0" w:color="B8ADD3"/>
        </w:tcBorders>
      </w:tcPr>
    </w:tblStylePr>
    <w:tblStylePr w:type="lastRow">
      <w:rPr>
        <w:b/>
        <w:bCs/>
      </w:rPr>
      <w:tblPr/>
      <w:tcPr>
        <w:tcBorders>
          <w:top w:val="double" w:sz="4" w:space="0" w:color="B8ADD3"/>
        </w:tcBorders>
      </w:tcPr>
    </w:tblStylePr>
    <w:tblStylePr w:type="firstCol">
      <w:rPr>
        <w:b/>
        <w:bCs/>
      </w:rPr>
    </w:tblStylePr>
    <w:tblStylePr w:type="lastCol">
      <w:rPr>
        <w:b/>
        <w:bCs/>
      </w:rPr>
    </w:tblStylePr>
    <w:tblStylePr w:type="band1Vert">
      <w:tblPr/>
      <w:tcPr>
        <w:shd w:val="clear" w:color="auto" w:fill="E7E3F0"/>
      </w:tcPr>
    </w:tblStylePr>
    <w:tblStylePr w:type="band1Horz">
      <w:tblPr/>
      <w:tcPr>
        <w:shd w:val="clear" w:color="auto" w:fill="E7E3F0"/>
      </w:tcPr>
    </w:tblStylePr>
  </w:style>
  <w:style w:type="character" w:styleId="IntenseEmphasis">
    <w:name w:val="Intense Emphasis"/>
    <w:qFormat/>
    <w:rsid w:val="00C85B78"/>
    <w:rPr>
      <w:i/>
      <w:iCs/>
      <w:color w:val="783CBD"/>
    </w:rPr>
  </w:style>
  <w:style w:type="paragraph" w:styleId="IntenseQuote">
    <w:name w:val="Intense Quote"/>
    <w:basedOn w:val="Normal"/>
    <w:next w:val="Normal"/>
    <w:link w:val="IntenseQuoteChar"/>
    <w:qFormat/>
    <w:rsid w:val="00C85B78"/>
    <w:pPr>
      <w:pBdr>
        <w:top w:val="single" w:sz="4" w:space="10" w:color="8A78B6"/>
        <w:bottom w:val="single" w:sz="4" w:space="10" w:color="8A78B6"/>
      </w:pBdr>
      <w:spacing w:before="360" w:after="360"/>
      <w:ind w:left="864" w:right="864"/>
      <w:jc w:val="center"/>
    </w:pPr>
    <w:rPr>
      <w:i/>
      <w:iCs/>
      <w:color w:val="783CBD"/>
    </w:rPr>
  </w:style>
  <w:style w:type="character" w:customStyle="1" w:styleId="IntenseQuoteChar">
    <w:name w:val="Intense Quote Char"/>
    <w:link w:val="IntenseQuote"/>
    <w:rsid w:val="00C937BD"/>
    <w:rPr>
      <w:rFonts w:ascii="Arial" w:hAnsi="Arial"/>
      <w:i/>
      <w:iCs/>
      <w:color w:val="783CBD"/>
      <w:sz w:val="18"/>
      <w:lang w:val="en-GB"/>
    </w:rPr>
  </w:style>
  <w:style w:type="character" w:styleId="IntenseReference">
    <w:name w:val="Intense Reference"/>
    <w:qFormat/>
    <w:rsid w:val="00C85B78"/>
    <w:rPr>
      <w:b/>
      <w:bCs/>
      <w:smallCaps/>
      <w:color w:val="783CBD"/>
      <w:spacing w:val="5"/>
    </w:rPr>
  </w:style>
  <w:style w:type="table" w:styleId="ListTable6Colorful-Accent1">
    <w:name w:val="List Table 6 Colorful Accent 1"/>
    <w:basedOn w:val="TableNormal"/>
    <w:uiPriority w:val="51"/>
    <w:rsid w:val="00C85B78"/>
    <w:rPr>
      <w:color w:val="783CBD"/>
    </w:rPr>
    <w:tblPr>
      <w:tblStyleRowBandSize w:val="1"/>
      <w:tblStyleColBandSize w:val="1"/>
      <w:tblBorders>
        <w:top w:val="single" w:sz="4" w:space="0" w:color="8A78B6"/>
        <w:bottom w:val="single" w:sz="4" w:space="0" w:color="8A78B6"/>
      </w:tblBorders>
    </w:tblPr>
    <w:tblStylePr w:type="firstRow">
      <w:rPr>
        <w:b/>
        <w:bCs/>
      </w:rPr>
      <w:tblPr/>
      <w:tcPr>
        <w:tcBorders>
          <w:bottom w:val="single" w:sz="4" w:space="0" w:color="8A78B6"/>
        </w:tcBorders>
      </w:tcPr>
    </w:tblStylePr>
    <w:tblStylePr w:type="lastRow">
      <w:rPr>
        <w:b/>
        <w:bCs/>
      </w:rPr>
      <w:tblPr/>
      <w:tcPr>
        <w:tcBorders>
          <w:top w:val="double" w:sz="4" w:space="0" w:color="8A78B6"/>
        </w:tcBorders>
      </w:tcPr>
    </w:tblStylePr>
    <w:tblStylePr w:type="firstCol">
      <w:rPr>
        <w:b/>
        <w:bCs/>
      </w:rPr>
    </w:tblStylePr>
    <w:tblStylePr w:type="lastCol">
      <w:rPr>
        <w:b/>
        <w:bCs/>
      </w:rPr>
    </w:tblStylePr>
    <w:tblStylePr w:type="band1Vert">
      <w:tblPr/>
      <w:tcPr>
        <w:shd w:val="clear" w:color="auto" w:fill="E7E3F0"/>
      </w:tcPr>
    </w:tblStylePr>
    <w:tblStylePr w:type="band1Horz">
      <w:tblPr/>
      <w:tcPr>
        <w:shd w:val="clear" w:color="auto" w:fill="E7E3F0"/>
      </w:tcPr>
    </w:tblStylePr>
  </w:style>
  <w:style w:type="table" w:styleId="ListTable7Colorful-Accent1">
    <w:name w:val="List Table 7 Colorful Accent 1"/>
    <w:basedOn w:val="TableNormal"/>
    <w:uiPriority w:val="52"/>
    <w:rsid w:val="00C85B78"/>
    <w:rPr>
      <w:color w:val="783CBD"/>
    </w:rPr>
    <w:tblPr>
      <w:tblStyleRowBandSize w:val="1"/>
      <w:tblStyleColBandSize w:val="1"/>
    </w:tblPr>
    <w:tblStylePr w:type="firstRow">
      <w:rPr>
        <w:rFonts w:ascii="Arial" w:eastAsia="Times New Roman" w:hAnsi="Arial" w:cs="Times New Roman"/>
        <w:i/>
        <w:iCs/>
        <w:sz w:val="26"/>
      </w:rPr>
      <w:tblPr/>
      <w:tcPr>
        <w:tcBorders>
          <w:bottom w:val="single" w:sz="4" w:space="0" w:color="8A78B6"/>
        </w:tcBorders>
        <w:shd w:val="clear" w:color="auto" w:fill="FFFFFF"/>
      </w:tcPr>
    </w:tblStylePr>
    <w:tblStylePr w:type="lastRow">
      <w:rPr>
        <w:rFonts w:ascii="Arial" w:eastAsia="Times New Roman" w:hAnsi="Arial" w:cs="Times New Roman"/>
        <w:i/>
        <w:iCs/>
        <w:sz w:val="26"/>
      </w:rPr>
      <w:tblPr/>
      <w:tcPr>
        <w:tcBorders>
          <w:top w:val="single" w:sz="4" w:space="0" w:color="8A78B6"/>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8A78B6"/>
        </w:tcBorders>
        <w:shd w:val="clear" w:color="auto" w:fill="FFFFFF"/>
      </w:tcPr>
    </w:tblStylePr>
    <w:tblStylePr w:type="lastCol">
      <w:rPr>
        <w:rFonts w:ascii="Arial" w:eastAsia="Times New Roman" w:hAnsi="Arial" w:cs="Times New Roman"/>
        <w:i/>
        <w:iCs/>
        <w:sz w:val="26"/>
      </w:rPr>
      <w:tblPr/>
      <w:tcPr>
        <w:tcBorders>
          <w:left w:val="single" w:sz="4" w:space="0" w:color="8A78B6"/>
        </w:tcBorders>
        <w:shd w:val="clear" w:color="auto" w:fill="FFFFFF"/>
      </w:tcPr>
    </w:tblStylePr>
    <w:tblStylePr w:type="band1Vert">
      <w:tblPr/>
      <w:tcPr>
        <w:shd w:val="clear" w:color="auto" w:fill="E7E3F0"/>
      </w:tcPr>
    </w:tblStylePr>
    <w:tblStylePr w:type="band1Horz">
      <w:tblPr/>
      <w:tcPr>
        <w:shd w:val="clear" w:color="auto" w:fill="E7E3F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Client">
    <w:name w:val="Cover Client"/>
    <w:basedOn w:val="CoverAddress"/>
    <w:qFormat/>
    <w:rsid w:val="00312B86"/>
  </w:style>
  <w:style w:type="paragraph" w:styleId="Caption">
    <w:name w:val="caption"/>
    <w:basedOn w:val="Normal"/>
    <w:next w:val="Normal"/>
    <w:unhideWhenUsed/>
    <w:qFormat/>
    <w:rsid w:val="00731044"/>
    <w:pPr>
      <w:spacing w:before="120" w:after="240" w:line="288" w:lineRule="auto"/>
    </w:pPr>
    <w:rPr>
      <w:b/>
      <w:iCs/>
      <w:color w:val="000000" w:themeColor="text1"/>
      <w:szCs w:val="18"/>
    </w:rPr>
  </w:style>
  <w:style w:type="table" w:customStyle="1" w:styleId="TFTTable">
    <w:name w:val="TFT Table"/>
    <w:basedOn w:val="TableNormal"/>
    <w:uiPriority w:val="99"/>
    <w:rsid w:val="00581A8B"/>
    <w:tblPr>
      <w:tblBorders>
        <w:bottom w:val="single" w:sz="2" w:space="0" w:color="D9D9D9"/>
        <w:insideH w:val="single" w:sz="2" w:space="0" w:color="D9D9D9"/>
      </w:tblBorders>
      <w:tblCellMar>
        <w:top w:w="142" w:type="dxa"/>
        <w:left w:w="0" w:type="dxa"/>
        <w:bottom w:w="142" w:type="dxa"/>
        <w:right w:w="0" w:type="dxa"/>
      </w:tblCellMar>
    </w:tblPr>
  </w:style>
  <w:style w:type="paragraph" w:customStyle="1" w:styleId="TableText">
    <w:name w:val="Table Text"/>
    <w:basedOn w:val="Normal"/>
    <w:link w:val="TableTextChar"/>
    <w:qFormat/>
    <w:rsid w:val="00731044"/>
    <w:rPr>
      <w:color w:val="000000" w:themeColor="text1"/>
    </w:rPr>
  </w:style>
  <w:style w:type="paragraph" w:customStyle="1" w:styleId="HeadingNumber">
    <w:name w:val="Heading Number"/>
    <w:basedOn w:val="Normal"/>
    <w:next w:val="Heading1"/>
    <w:rsid w:val="00EC2EAA"/>
    <w:pPr>
      <w:keepNext/>
      <w:keepLines/>
      <w:pageBreakBefore/>
      <w:pBdr>
        <w:bottom w:val="single" w:sz="6" w:space="18" w:color="D9D9D9"/>
      </w:pBdr>
      <w:spacing w:after="360"/>
    </w:pPr>
  </w:style>
  <w:style w:type="paragraph" w:customStyle="1" w:styleId="ConditionReportTextNoNumber">
    <w:name w:val="Condition Report Text No Number"/>
    <w:basedOn w:val="ConditionReportText"/>
    <w:qFormat/>
    <w:rsid w:val="00441A9F"/>
    <w:pPr>
      <w:numPr>
        <w:ilvl w:val="0"/>
        <w:numId w:val="0"/>
      </w:numPr>
      <w:ind w:left="737"/>
    </w:pPr>
  </w:style>
  <w:style w:type="paragraph" w:customStyle="1" w:styleId="ConditionReportBullet">
    <w:name w:val="Condition Report Bullet"/>
    <w:basedOn w:val="Normal"/>
    <w:qFormat/>
    <w:rsid w:val="001651FB"/>
    <w:pPr>
      <w:numPr>
        <w:numId w:val="14"/>
      </w:numPr>
    </w:pPr>
  </w:style>
  <w:style w:type="numbering" w:customStyle="1" w:styleId="TFTConditionReportBullets">
    <w:name w:val="TFT Condition Report Bullets"/>
    <w:basedOn w:val="NoList"/>
    <w:uiPriority w:val="99"/>
    <w:rsid w:val="00151978"/>
    <w:pPr>
      <w:numPr>
        <w:numId w:val="14"/>
      </w:numPr>
    </w:pPr>
  </w:style>
  <w:style w:type="paragraph" w:customStyle="1" w:styleId="Photo">
    <w:name w:val="Photo"/>
    <w:basedOn w:val="Normal"/>
    <w:next w:val="PhotographCaption"/>
    <w:qFormat/>
    <w:rsid w:val="00BE2144"/>
    <w:pPr>
      <w:keepNext/>
      <w:jc w:val="center"/>
    </w:pPr>
  </w:style>
  <w:style w:type="numbering" w:customStyle="1" w:styleId="TFTTOC1">
    <w:name w:val="TFT TOC1"/>
    <w:basedOn w:val="NoList"/>
    <w:uiPriority w:val="99"/>
    <w:rsid w:val="00DA59F0"/>
    <w:pPr>
      <w:numPr>
        <w:numId w:val="16"/>
      </w:numPr>
    </w:pPr>
  </w:style>
  <w:style w:type="paragraph" w:customStyle="1" w:styleId="EnquiryBullet">
    <w:name w:val="Enquiry Bullet"/>
    <w:basedOn w:val="BodyText"/>
    <w:qFormat/>
    <w:rsid w:val="00743FE2"/>
    <w:pPr>
      <w:numPr>
        <w:numId w:val="10"/>
      </w:numPr>
    </w:pPr>
  </w:style>
  <w:style w:type="paragraph" w:customStyle="1" w:styleId="TableTextwithSpacing">
    <w:name w:val="Table Text with Spacing"/>
    <w:basedOn w:val="TableText"/>
    <w:qFormat/>
    <w:rsid w:val="00C87805"/>
    <w:pPr>
      <w:spacing w:after="200"/>
    </w:pPr>
  </w:style>
  <w:style w:type="paragraph" w:customStyle="1" w:styleId="TableTextSmall">
    <w:name w:val="Table Text Small"/>
    <w:basedOn w:val="TableText"/>
    <w:qFormat/>
    <w:rsid w:val="00F96F57"/>
    <w:rPr>
      <w:sz w:val="14"/>
      <w:szCs w:val="12"/>
    </w:rPr>
  </w:style>
  <w:style w:type="table" w:customStyle="1" w:styleId="TFTPhotoPlaceholder">
    <w:name w:val="TFT Photo Placeholder"/>
    <w:basedOn w:val="TableNormal"/>
    <w:uiPriority w:val="99"/>
    <w:rsid w:val="00BE2144"/>
    <w:tblPr>
      <w:tblBorders>
        <w:top w:val="single" w:sz="2" w:space="0" w:color="D9D9D9"/>
        <w:bottom w:val="single" w:sz="2" w:space="0" w:color="D9D9D9"/>
      </w:tblBorders>
      <w:tblCellMar>
        <w:top w:w="142" w:type="dxa"/>
        <w:bottom w:w="142" w:type="dxa"/>
      </w:tblCellMar>
    </w:tblPr>
    <w:trPr>
      <w:cantSplit/>
    </w:trPr>
  </w:style>
  <w:style w:type="paragraph" w:customStyle="1" w:styleId="PlaceholderAddress">
    <w:name w:val="PlaceholderAddress"/>
    <w:basedOn w:val="CoverAddress"/>
    <w:link w:val="PlaceholderAddressChar"/>
    <w:qFormat/>
    <w:rsid w:val="00F45790"/>
  </w:style>
  <w:style w:type="character" w:customStyle="1" w:styleId="CoverAddressChar">
    <w:name w:val="Cover Address Char"/>
    <w:basedOn w:val="DefaultParagraphFont"/>
    <w:link w:val="CoverAddress"/>
    <w:rsid w:val="00F45790"/>
    <w:rPr>
      <w:color w:val="7C7C7E"/>
      <w:sz w:val="36"/>
      <w:szCs w:val="22"/>
      <w:lang w:eastAsia="en-US"/>
    </w:rPr>
  </w:style>
  <w:style w:type="character" w:customStyle="1" w:styleId="PlaceholderAddressChar">
    <w:name w:val="PlaceholderAddress Char"/>
    <w:basedOn w:val="CoverAddressChar"/>
    <w:link w:val="PlaceholderAddress"/>
    <w:rsid w:val="00F45790"/>
    <w:rPr>
      <w:color w:val="7C7C7E"/>
      <w:sz w:val="36"/>
      <w:szCs w:val="22"/>
      <w:lang w:eastAsia="en-US"/>
    </w:rPr>
  </w:style>
  <w:style w:type="paragraph" w:styleId="TOCHeading">
    <w:name w:val="TOC Heading"/>
    <w:basedOn w:val="Heading1"/>
    <w:next w:val="Normal"/>
    <w:uiPriority w:val="39"/>
    <w:unhideWhenUsed/>
    <w:qFormat/>
    <w:rsid w:val="003D5211"/>
    <w:pPr>
      <w:numPr>
        <w:numId w:val="0"/>
      </w:numPr>
      <w:spacing w:before="240" w:after="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3D5211"/>
    <w:pPr>
      <w:spacing w:after="100" w:line="259" w:lineRule="auto"/>
      <w:ind w:left="220"/>
    </w:pPr>
    <w:rPr>
      <w:rFonts w:asciiTheme="minorHAnsi" w:eastAsiaTheme="minorEastAsia" w:hAnsiTheme="minorHAnsi"/>
      <w:sz w:val="22"/>
      <w:lang w:val="en-US"/>
    </w:rPr>
  </w:style>
  <w:style w:type="paragraph" w:styleId="Revision">
    <w:name w:val="Revision"/>
    <w:hidden/>
    <w:uiPriority w:val="99"/>
    <w:semiHidden/>
    <w:rsid w:val="00FF5E50"/>
    <w:rPr>
      <w:sz w:val="18"/>
      <w:szCs w:val="22"/>
      <w:lang w:eastAsia="en-US"/>
    </w:rPr>
  </w:style>
  <w:style w:type="paragraph" w:customStyle="1" w:styleId="PhotoRefColumnExecSum">
    <w:name w:val="Photo Ref Column Exec Sum"/>
    <w:basedOn w:val="PhotoRefColumn"/>
    <w:link w:val="PhotoRefColumnExecSumChar"/>
    <w:qFormat/>
    <w:rsid w:val="00824040"/>
    <w:pPr>
      <w:spacing w:before="120" w:after="120"/>
    </w:pPr>
    <w:rPr>
      <w:color w:val="000000" w:themeColor="text1"/>
    </w:rPr>
  </w:style>
  <w:style w:type="character" w:customStyle="1" w:styleId="PhotoRefColumnChar">
    <w:name w:val="Photo Ref Column Char"/>
    <w:basedOn w:val="BodyTextChar"/>
    <w:link w:val="PhotoRefColumn"/>
    <w:rsid w:val="00824040"/>
    <w:rPr>
      <w:color w:val="783CBD"/>
      <w:sz w:val="18"/>
      <w:szCs w:val="22"/>
      <w:lang w:eastAsia="en-US"/>
    </w:rPr>
  </w:style>
  <w:style w:type="character" w:customStyle="1" w:styleId="PhotoRefColumnExecSumChar">
    <w:name w:val="Photo Ref Column Exec Sum Char"/>
    <w:basedOn w:val="PhotoRefColumnChar"/>
    <w:link w:val="PhotoRefColumnExecSum"/>
    <w:rsid w:val="00824040"/>
    <w:rPr>
      <w:color w:val="000000" w:themeColor="text1"/>
      <w:sz w:val="18"/>
      <w:szCs w:val="22"/>
      <w:lang w:eastAsia="en-US"/>
    </w:rPr>
  </w:style>
  <w:style w:type="paragraph" w:customStyle="1" w:styleId="BodyTextIndented">
    <w:name w:val="Body Text Indented"/>
    <w:basedOn w:val="BodyText"/>
    <w:link w:val="BodyTextIndentedChar"/>
    <w:qFormat/>
    <w:rsid w:val="00F31CDB"/>
    <w:pPr>
      <w:ind w:left="720"/>
    </w:pPr>
  </w:style>
  <w:style w:type="character" w:customStyle="1" w:styleId="BodyTextIndentedChar">
    <w:name w:val="Body Text Indented Char"/>
    <w:basedOn w:val="BodyTextChar"/>
    <w:link w:val="BodyTextIndented"/>
    <w:rsid w:val="00F31CDB"/>
    <w:rPr>
      <w:sz w:val="18"/>
      <w:szCs w:val="22"/>
      <w:lang w:eastAsia="en-US"/>
    </w:rPr>
  </w:style>
  <w:style w:type="paragraph" w:customStyle="1" w:styleId="TableText12Line">
    <w:name w:val="Table Text 1.2 Line"/>
    <w:basedOn w:val="TableText"/>
    <w:link w:val="TableText12LineChar"/>
    <w:qFormat/>
    <w:rsid w:val="00D30E8E"/>
    <w:pPr>
      <w:spacing w:line="288" w:lineRule="auto"/>
    </w:pPr>
  </w:style>
  <w:style w:type="character" w:customStyle="1" w:styleId="TableTextChar">
    <w:name w:val="Table Text Char"/>
    <w:basedOn w:val="DefaultParagraphFont"/>
    <w:link w:val="TableText"/>
    <w:rsid w:val="00731044"/>
    <w:rPr>
      <w:color w:val="000000" w:themeColor="text1"/>
      <w:sz w:val="18"/>
      <w:szCs w:val="22"/>
      <w:lang w:eastAsia="en-US"/>
    </w:rPr>
  </w:style>
  <w:style w:type="character" w:customStyle="1" w:styleId="TableText12LineChar">
    <w:name w:val="Table Text 1.2 Line Char"/>
    <w:basedOn w:val="TableTextChar"/>
    <w:link w:val="TableText12Line"/>
    <w:rsid w:val="00D30E8E"/>
    <w:rPr>
      <w:color w:val="000000" w:themeColor="text1"/>
      <w:sz w:val="18"/>
      <w:szCs w:val="22"/>
      <w:lang w:eastAsia="en-US"/>
    </w:rPr>
  </w:style>
  <w:style w:type="paragraph" w:customStyle="1" w:styleId="BulletOneJLL">
    <w:name w:val="Bullet One_JLL"/>
    <w:basedOn w:val="Normal"/>
    <w:uiPriority w:val="7"/>
    <w:qFormat/>
    <w:rsid w:val="008A5286"/>
    <w:pPr>
      <w:spacing w:after="120" w:line="276" w:lineRule="auto"/>
      <w:ind w:left="360" w:hanging="360"/>
    </w:pPr>
    <w:rPr>
      <w:rFonts w:ascii="Source Sans Pro" w:eastAsia="Source Sans Pro" w:hAnsi="Source Sans Pro"/>
      <w:sz w:val="22"/>
    </w:rPr>
  </w:style>
  <w:style w:type="paragraph" w:customStyle="1" w:styleId="BodyTextJLL">
    <w:name w:val="Body Text_JLL"/>
    <w:basedOn w:val="Normal"/>
    <w:uiPriority w:val="5"/>
    <w:qFormat/>
    <w:rsid w:val="000C2018"/>
    <w:pPr>
      <w:spacing w:after="120" w:line="276" w:lineRule="auto"/>
    </w:pPr>
    <w:rPr>
      <w:rFonts w:ascii="Source Sans Pro" w:eastAsiaTheme="minorHAnsi" w:hAnsi="Source Sans Pro" w:cstheme="minorBidi"/>
      <w:sz w:val="22"/>
    </w:rPr>
  </w:style>
  <w:style w:type="table" w:customStyle="1" w:styleId="JLLStandard">
    <w:name w:val="JLL_Standard"/>
    <w:basedOn w:val="TableNormal"/>
    <w:uiPriority w:val="23"/>
    <w:rsid w:val="000C2018"/>
    <w:rPr>
      <w:rFonts w:ascii="Source Sans Pro" w:eastAsiaTheme="minorHAnsi" w:hAnsi="Source Sans Pro" w:cstheme="minorBidi"/>
      <w:sz w:val="19"/>
      <w:szCs w:val="22"/>
      <w:lang w:eastAsia="en-US"/>
    </w:rPr>
    <w:tblPr>
      <w:tblStyleRowBandSize w:val="1"/>
      <w:tblInd w:w="108" w:type="dxa"/>
      <w:tblBorders>
        <w:insideV w:val="single" w:sz="4" w:space="0" w:color="FFFFFF"/>
      </w:tblBorders>
    </w:tblPr>
    <w:tblStylePr w:type="firstRow">
      <w:rPr>
        <w:rFonts w:ascii="Source Sans Pro SemiBold" w:hAnsi="Source Sans Pro SemiBold"/>
        <w:color w:val="FFFFFF"/>
        <w:sz w:val="19"/>
      </w:rPr>
      <w:tblPr/>
      <w:tcPr>
        <w:tcBorders>
          <w:top w:val="nil"/>
          <w:left w:val="nil"/>
          <w:bottom w:val="nil"/>
          <w:right w:val="nil"/>
          <w:insideH w:val="nil"/>
          <w:insideV w:val="nil"/>
          <w:tl2br w:val="nil"/>
          <w:tr2bl w:val="nil"/>
        </w:tcBorders>
        <w:shd w:val="clear" w:color="auto" w:fill="E30613"/>
      </w:tcPr>
    </w:tblStylePr>
    <w:tblStylePr w:type="band1Horz">
      <w:tblPr/>
      <w:tcPr>
        <w:tcBorders>
          <w:top w:val="nil"/>
          <w:left w:val="nil"/>
          <w:bottom w:val="nil"/>
          <w:right w:val="nil"/>
          <w:insideH w:val="nil"/>
          <w:insideV w:val="nil"/>
          <w:tl2br w:val="nil"/>
          <w:tr2bl w:val="nil"/>
        </w:tcBorders>
        <w:shd w:val="clear" w:color="auto" w:fill="D6D6D6"/>
      </w:tcPr>
    </w:tblStylePr>
    <w:tblStylePr w:type="band2Horz">
      <w:tblPr/>
      <w:tcPr>
        <w:tcBorders>
          <w:top w:val="nil"/>
          <w:left w:val="nil"/>
          <w:bottom w:val="nil"/>
          <w:right w:val="nil"/>
          <w:insideH w:val="nil"/>
          <w:insideV w:val="nil"/>
          <w:tl2br w:val="nil"/>
          <w:tr2bl w:val="nil"/>
        </w:tcBorders>
        <w:shd w:val="clear" w:color="auto" w:fill="F2F2F2"/>
      </w:tcPr>
    </w:tblStylePr>
  </w:style>
  <w:style w:type="paragraph" w:customStyle="1" w:styleId="BulletOneNoSpaceAfterJLL">
    <w:name w:val="Bullet One (No Space After)_JLL"/>
    <w:basedOn w:val="BulletOneJLL"/>
    <w:next w:val="Normal"/>
    <w:uiPriority w:val="8"/>
    <w:qFormat/>
    <w:rsid w:val="00D44993"/>
    <w:pPr>
      <w:numPr>
        <w:numId w:val="41"/>
      </w:numPr>
      <w:spacing w:after="0"/>
      <w:ind w:left="357" w:hanging="357"/>
    </w:pPr>
    <w:rPr>
      <w:rFonts w:eastAsiaTheme="minorHAnsi" w:cstheme="minorBidi"/>
    </w:rPr>
  </w:style>
  <w:style w:type="numbering" w:customStyle="1" w:styleId="Style1">
    <w:name w:val="Style1"/>
    <w:uiPriority w:val="99"/>
    <w:rsid w:val="00D44993"/>
    <w:pPr>
      <w:numPr>
        <w:numId w:val="43"/>
      </w:numPr>
    </w:pPr>
  </w:style>
  <w:style w:type="paragraph" w:styleId="FootnoteText">
    <w:name w:val="footnote text"/>
    <w:basedOn w:val="Normal"/>
    <w:link w:val="FootnoteTextChar"/>
    <w:uiPriority w:val="99"/>
    <w:semiHidden/>
    <w:unhideWhenUsed/>
    <w:rsid w:val="00CE36C6"/>
    <w:rPr>
      <w:sz w:val="20"/>
      <w:szCs w:val="20"/>
    </w:rPr>
  </w:style>
  <w:style w:type="character" w:customStyle="1" w:styleId="FootnoteTextChar">
    <w:name w:val="Footnote Text Char"/>
    <w:basedOn w:val="DefaultParagraphFont"/>
    <w:link w:val="FootnoteText"/>
    <w:uiPriority w:val="99"/>
    <w:semiHidden/>
    <w:rsid w:val="00CE36C6"/>
    <w:rPr>
      <w:lang w:eastAsia="en-US"/>
    </w:rPr>
  </w:style>
  <w:style w:type="character" w:styleId="FootnoteReference">
    <w:name w:val="footnote reference"/>
    <w:basedOn w:val="DefaultParagraphFont"/>
    <w:uiPriority w:val="99"/>
    <w:semiHidden/>
    <w:unhideWhenUsed/>
    <w:rsid w:val="00CE36C6"/>
    <w:rPr>
      <w:vertAlign w:val="superscript"/>
    </w:rPr>
  </w:style>
  <w:style w:type="numbering" w:customStyle="1" w:styleId="Style2">
    <w:name w:val="Style2"/>
    <w:uiPriority w:val="99"/>
    <w:rsid w:val="00250570"/>
    <w:pPr>
      <w:numPr>
        <w:numId w:val="47"/>
      </w:numPr>
    </w:pPr>
  </w:style>
  <w:style w:type="numbering" w:customStyle="1" w:styleId="Style4">
    <w:name w:val="Style4"/>
    <w:uiPriority w:val="99"/>
    <w:rsid w:val="00311663"/>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30994">
      <w:bodyDiv w:val="1"/>
      <w:marLeft w:val="0"/>
      <w:marRight w:val="0"/>
      <w:marTop w:val="0"/>
      <w:marBottom w:val="0"/>
      <w:divBdr>
        <w:top w:val="none" w:sz="0" w:space="0" w:color="auto"/>
        <w:left w:val="none" w:sz="0" w:space="0" w:color="auto"/>
        <w:bottom w:val="none" w:sz="0" w:space="0" w:color="auto"/>
        <w:right w:val="none" w:sz="0" w:space="0" w:color="auto"/>
      </w:divBdr>
    </w:div>
    <w:div w:id="293216491">
      <w:bodyDiv w:val="1"/>
      <w:marLeft w:val="0"/>
      <w:marRight w:val="0"/>
      <w:marTop w:val="0"/>
      <w:marBottom w:val="0"/>
      <w:divBdr>
        <w:top w:val="none" w:sz="0" w:space="0" w:color="auto"/>
        <w:left w:val="none" w:sz="0" w:space="0" w:color="auto"/>
        <w:bottom w:val="none" w:sz="0" w:space="0" w:color="auto"/>
        <w:right w:val="none" w:sz="0" w:space="0" w:color="auto"/>
      </w:divBdr>
    </w:div>
    <w:div w:id="318849921">
      <w:bodyDiv w:val="1"/>
      <w:marLeft w:val="0"/>
      <w:marRight w:val="0"/>
      <w:marTop w:val="0"/>
      <w:marBottom w:val="0"/>
      <w:divBdr>
        <w:top w:val="none" w:sz="0" w:space="0" w:color="auto"/>
        <w:left w:val="none" w:sz="0" w:space="0" w:color="auto"/>
        <w:bottom w:val="none" w:sz="0" w:space="0" w:color="auto"/>
        <w:right w:val="none" w:sz="0" w:space="0" w:color="auto"/>
      </w:divBdr>
    </w:div>
    <w:div w:id="396242947">
      <w:bodyDiv w:val="1"/>
      <w:marLeft w:val="0"/>
      <w:marRight w:val="0"/>
      <w:marTop w:val="0"/>
      <w:marBottom w:val="0"/>
      <w:divBdr>
        <w:top w:val="none" w:sz="0" w:space="0" w:color="auto"/>
        <w:left w:val="none" w:sz="0" w:space="0" w:color="auto"/>
        <w:bottom w:val="none" w:sz="0" w:space="0" w:color="auto"/>
        <w:right w:val="none" w:sz="0" w:space="0" w:color="auto"/>
      </w:divBdr>
    </w:div>
    <w:div w:id="723913648">
      <w:bodyDiv w:val="1"/>
      <w:marLeft w:val="0"/>
      <w:marRight w:val="0"/>
      <w:marTop w:val="0"/>
      <w:marBottom w:val="0"/>
      <w:divBdr>
        <w:top w:val="none" w:sz="0" w:space="0" w:color="auto"/>
        <w:left w:val="none" w:sz="0" w:space="0" w:color="auto"/>
        <w:bottom w:val="none" w:sz="0" w:space="0" w:color="auto"/>
        <w:right w:val="none" w:sz="0" w:space="0" w:color="auto"/>
      </w:divBdr>
    </w:div>
    <w:div w:id="755439558">
      <w:bodyDiv w:val="1"/>
      <w:marLeft w:val="0"/>
      <w:marRight w:val="0"/>
      <w:marTop w:val="0"/>
      <w:marBottom w:val="0"/>
      <w:divBdr>
        <w:top w:val="none" w:sz="0" w:space="0" w:color="auto"/>
        <w:left w:val="none" w:sz="0" w:space="0" w:color="auto"/>
        <w:bottom w:val="none" w:sz="0" w:space="0" w:color="auto"/>
        <w:right w:val="none" w:sz="0" w:space="0" w:color="auto"/>
      </w:divBdr>
    </w:div>
    <w:div w:id="1030228505">
      <w:bodyDiv w:val="1"/>
      <w:marLeft w:val="0"/>
      <w:marRight w:val="0"/>
      <w:marTop w:val="0"/>
      <w:marBottom w:val="0"/>
      <w:divBdr>
        <w:top w:val="none" w:sz="0" w:space="0" w:color="auto"/>
        <w:left w:val="none" w:sz="0" w:space="0" w:color="auto"/>
        <w:bottom w:val="none" w:sz="0" w:space="0" w:color="auto"/>
        <w:right w:val="none" w:sz="0" w:space="0" w:color="auto"/>
      </w:divBdr>
    </w:div>
    <w:div w:id="1034841176">
      <w:bodyDiv w:val="1"/>
      <w:marLeft w:val="0"/>
      <w:marRight w:val="0"/>
      <w:marTop w:val="0"/>
      <w:marBottom w:val="0"/>
      <w:divBdr>
        <w:top w:val="none" w:sz="0" w:space="0" w:color="auto"/>
        <w:left w:val="none" w:sz="0" w:space="0" w:color="auto"/>
        <w:bottom w:val="none" w:sz="0" w:space="0" w:color="auto"/>
        <w:right w:val="none" w:sz="0" w:space="0" w:color="auto"/>
      </w:divBdr>
    </w:div>
    <w:div w:id="1504122649">
      <w:bodyDiv w:val="1"/>
      <w:marLeft w:val="0"/>
      <w:marRight w:val="0"/>
      <w:marTop w:val="0"/>
      <w:marBottom w:val="0"/>
      <w:divBdr>
        <w:top w:val="none" w:sz="0" w:space="0" w:color="auto"/>
        <w:left w:val="none" w:sz="0" w:space="0" w:color="auto"/>
        <w:bottom w:val="none" w:sz="0" w:space="0" w:color="auto"/>
        <w:right w:val="none" w:sz="0" w:space="0" w:color="auto"/>
      </w:divBdr>
    </w:div>
    <w:div w:id="1626497628">
      <w:bodyDiv w:val="1"/>
      <w:marLeft w:val="0"/>
      <w:marRight w:val="0"/>
      <w:marTop w:val="0"/>
      <w:marBottom w:val="0"/>
      <w:divBdr>
        <w:top w:val="none" w:sz="0" w:space="0" w:color="auto"/>
        <w:left w:val="none" w:sz="0" w:space="0" w:color="auto"/>
        <w:bottom w:val="none" w:sz="0" w:space="0" w:color="auto"/>
        <w:right w:val="none" w:sz="0" w:space="0" w:color="auto"/>
      </w:divBdr>
    </w:div>
    <w:div w:id="1783645875">
      <w:bodyDiv w:val="1"/>
      <w:marLeft w:val="0"/>
      <w:marRight w:val="0"/>
      <w:marTop w:val="0"/>
      <w:marBottom w:val="0"/>
      <w:divBdr>
        <w:top w:val="none" w:sz="0" w:space="0" w:color="auto"/>
        <w:left w:val="none" w:sz="0" w:space="0" w:color="auto"/>
        <w:bottom w:val="none" w:sz="0" w:space="0" w:color="auto"/>
        <w:right w:val="none" w:sz="0" w:space="0" w:color="auto"/>
      </w:divBdr>
    </w:div>
    <w:div w:id="1812360484">
      <w:bodyDiv w:val="1"/>
      <w:marLeft w:val="0"/>
      <w:marRight w:val="0"/>
      <w:marTop w:val="0"/>
      <w:marBottom w:val="0"/>
      <w:divBdr>
        <w:top w:val="none" w:sz="0" w:space="0" w:color="auto"/>
        <w:left w:val="none" w:sz="0" w:space="0" w:color="auto"/>
        <w:bottom w:val="none" w:sz="0" w:space="0" w:color="auto"/>
        <w:right w:val="none" w:sz="0" w:space="0" w:color="auto"/>
      </w:divBdr>
    </w:div>
    <w:div w:id="189773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staffs.gov.uk/doc/179829/name/APP2%20SAD%20September%202018%20FINAL.pdf/" TargetMode="External"/><Relationship Id="rId2" Type="http://schemas.openxmlformats.org/officeDocument/2006/relationships/hyperlink" Target="https://bpf.org.uk/our-work/research-and-briefings/levelling-up-the-logic-of-logistics/" TargetMode="External"/><Relationship Id="rId1" Type="http://schemas.openxmlformats.org/officeDocument/2006/relationships/hyperlink" Target="https://www.staffordbc.gov.uk/housing-and-employment-land-requirement-topic-paper" TargetMode="External"/><Relationship Id="rId5" Type="http://schemas.openxmlformats.org/officeDocument/2006/relationships/hyperlink" Target="https://assets.publishing.service.gov.uk/government/uploads/system/uploads/attachment_data/file/1085917/future-of-freight-plan.pdf" TargetMode="External"/><Relationship Id="rId4" Type="http://schemas.openxmlformats.org/officeDocument/2006/relationships/hyperlink" Target="https://www.sstaffs.gov.uk/doc/183914/name/SFRI%20apportioning%20the%20lan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914E3085172C409EC920113DA6FE28" ma:contentTypeVersion="0" ma:contentTypeDescription="Create a new document." ma:contentTypeScope="" ma:versionID="80da90646fdc021d7d12eca189f2ab7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root>
  <client/>
  <inspection_date/>
  <core_ref>Enter core reference /short property address, excl. postcode</core_ref>
</roo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4DCEE8C2-71E4-4BFB-88EB-8372136DC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82DE67D-ACB3-4F7B-A0EA-0F4631438990}">
  <ds:schemaRefs/>
</ds:datastoreItem>
</file>

<file path=customXml/itemProps3.xml><?xml version="1.0" encoding="utf-8"?>
<ds:datastoreItem xmlns:ds="http://schemas.openxmlformats.org/officeDocument/2006/customXml" ds:itemID="{B1040BC0-1BE3-41E8-9DFC-DFF36E1446E3}">
  <ds:schemaRefs>
    <ds:schemaRef ds:uri="http://schemas.microsoft.com/sharepoint/v3/contenttype/forms"/>
  </ds:schemaRefs>
</ds:datastoreItem>
</file>

<file path=customXml/itemProps4.xml><?xml version="1.0" encoding="utf-8"?>
<ds:datastoreItem xmlns:ds="http://schemas.openxmlformats.org/officeDocument/2006/customXml" ds:itemID="{91FBCF76-9206-4D7A-B073-0FB8B7583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4910</Words>
  <Characters>27989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Edwina</dc:creator>
  <cp:keywords/>
  <dc:description/>
  <cp:lastModifiedBy>Leaver, Peter</cp:lastModifiedBy>
  <cp:revision>5</cp:revision>
  <cp:lastPrinted>2022-12-14T14:52:00Z</cp:lastPrinted>
  <dcterms:created xsi:type="dcterms:W3CDTF">2022-12-19T07:50:00Z</dcterms:created>
  <dcterms:modified xsi:type="dcterms:W3CDTF">2022-12-19T08:14:00Z</dcterms:modified>
</cp:coreProperties>
</file>