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96707" w14:textId="77777777" w:rsidR="005A6880" w:rsidRDefault="005A6880" w:rsidP="005A6880">
      <w:pPr>
        <w:jc w:val="both"/>
        <w:rPr>
          <w:rFonts w:ascii="Source Sans Pro" w:hAnsi="Source Sans Pro"/>
          <w:b/>
          <w:bCs/>
          <w:sz w:val="22"/>
        </w:rPr>
      </w:pPr>
      <w:proofErr w:type="spellStart"/>
      <w:r>
        <w:rPr>
          <w:rFonts w:ascii="Source Sans Pro" w:hAnsi="Source Sans Pro"/>
          <w:b/>
          <w:bCs/>
          <w:sz w:val="22"/>
        </w:rPr>
        <w:t>Nurton</w:t>
      </w:r>
      <w:proofErr w:type="spellEnd"/>
      <w:r>
        <w:rPr>
          <w:rFonts w:ascii="Source Sans Pro" w:hAnsi="Source Sans Pro"/>
          <w:b/>
          <w:bCs/>
          <w:sz w:val="22"/>
        </w:rPr>
        <w:t xml:space="preserve"> Developments Limited</w:t>
      </w:r>
    </w:p>
    <w:p w14:paraId="2C325355" w14:textId="77777777" w:rsidR="005A6880" w:rsidRDefault="005A6880" w:rsidP="005A6880">
      <w:pPr>
        <w:jc w:val="both"/>
        <w:rPr>
          <w:rFonts w:ascii="Source Sans Pro" w:hAnsi="Source Sans Pro"/>
          <w:b/>
          <w:bCs/>
          <w:sz w:val="22"/>
        </w:rPr>
      </w:pPr>
    </w:p>
    <w:p w14:paraId="21B3AAEA" w14:textId="77777777" w:rsidR="005A6880" w:rsidRPr="002F017E" w:rsidRDefault="005A6880" w:rsidP="005A6880">
      <w:pPr>
        <w:jc w:val="both"/>
        <w:rPr>
          <w:rFonts w:ascii="Source Sans Pro" w:hAnsi="Source Sans Pro"/>
          <w:b/>
          <w:bCs/>
          <w:sz w:val="22"/>
        </w:rPr>
      </w:pPr>
      <w:r w:rsidRPr="002F017E">
        <w:rPr>
          <w:rFonts w:ascii="Source Sans Pro" w:hAnsi="Source Sans Pro"/>
          <w:b/>
          <w:bCs/>
          <w:sz w:val="22"/>
        </w:rPr>
        <w:t xml:space="preserve">Land at Junction 11, M6, Hilton Park </w:t>
      </w:r>
    </w:p>
    <w:p w14:paraId="04B08DFB" w14:textId="77777777" w:rsidR="005A6880" w:rsidRDefault="005A6880" w:rsidP="005A6880">
      <w:pPr>
        <w:jc w:val="both"/>
        <w:rPr>
          <w:rFonts w:ascii="Source Sans Pro" w:hAnsi="Source Sans Pro"/>
          <w:b/>
          <w:bCs/>
          <w:sz w:val="22"/>
        </w:rPr>
      </w:pPr>
    </w:p>
    <w:p w14:paraId="044387CA" w14:textId="77777777" w:rsidR="005A6880" w:rsidRDefault="005A6880" w:rsidP="005A6880">
      <w:pPr>
        <w:jc w:val="both"/>
        <w:rPr>
          <w:rFonts w:ascii="Source Sans Pro" w:hAnsi="Source Sans Pro"/>
          <w:b/>
          <w:bCs/>
          <w:sz w:val="22"/>
        </w:rPr>
      </w:pPr>
      <w:r>
        <w:rPr>
          <w:rFonts w:ascii="Source Sans Pro" w:hAnsi="Source Sans Pro"/>
          <w:b/>
          <w:bCs/>
          <w:sz w:val="22"/>
        </w:rPr>
        <w:t>Representations to South Staffordshire Local Plan Pre-Submission Draft (Regulation 19)</w:t>
      </w:r>
    </w:p>
    <w:p w14:paraId="2DBD0D4D" w14:textId="77777777" w:rsidR="005A6880" w:rsidRDefault="005A6880" w:rsidP="005A6880">
      <w:pPr>
        <w:jc w:val="both"/>
        <w:rPr>
          <w:rFonts w:ascii="Source Sans Pro" w:hAnsi="Source Sans Pro"/>
          <w:b/>
          <w:bCs/>
          <w:sz w:val="22"/>
        </w:rPr>
      </w:pPr>
    </w:p>
    <w:p w14:paraId="48B4104C" w14:textId="77777777" w:rsidR="005A6880" w:rsidRDefault="005A6880" w:rsidP="005A6880">
      <w:pPr>
        <w:jc w:val="both"/>
        <w:rPr>
          <w:rFonts w:ascii="Source Sans Pro" w:hAnsi="Source Sans Pro"/>
          <w:b/>
          <w:bCs/>
          <w:sz w:val="22"/>
        </w:rPr>
      </w:pPr>
      <w:r>
        <w:rPr>
          <w:rFonts w:ascii="Source Sans Pro" w:hAnsi="Source Sans Pro"/>
          <w:b/>
          <w:bCs/>
          <w:sz w:val="22"/>
        </w:rPr>
        <w:t>Paragraph 6.41-6.45</w:t>
      </w:r>
    </w:p>
    <w:p w14:paraId="3EE21ED5" w14:textId="77777777" w:rsidR="005A6880" w:rsidRDefault="005A6880" w:rsidP="005A6880">
      <w:pPr>
        <w:jc w:val="both"/>
        <w:rPr>
          <w:rFonts w:ascii="Source Sans Pro" w:hAnsi="Source Sans Pro"/>
          <w:b/>
          <w:bCs/>
          <w:sz w:val="22"/>
        </w:rPr>
      </w:pPr>
    </w:p>
    <w:p w14:paraId="03C5A873" w14:textId="456D4976" w:rsidR="005A6880" w:rsidRDefault="005A6880" w:rsidP="005A6880">
      <w:pPr>
        <w:jc w:val="both"/>
        <w:rPr>
          <w:rFonts w:ascii="Source Sans Pro" w:hAnsi="Source Sans Pro"/>
          <w:b/>
          <w:bCs/>
          <w:sz w:val="22"/>
        </w:rPr>
      </w:pPr>
      <w:r>
        <w:rPr>
          <w:rFonts w:ascii="Source Sans Pro" w:hAnsi="Source Sans Pro"/>
          <w:b/>
          <w:bCs/>
          <w:sz w:val="22"/>
        </w:rPr>
        <w:t>Policy SA7: Employment Allocations</w:t>
      </w:r>
    </w:p>
    <w:p w14:paraId="50DBF9CD" w14:textId="77777777" w:rsidR="005A6880" w:rsidRDefault="005A6880" w:rsidP="005A6880">
      <w:pPr>
        <w:jc w:val="both"/>
        <w:rPr>
          <w:rFonts w:ascii="Source Sans Pro" w:hAnsi="Source Sans Pro"/>
          <w:b/>
          <w:bCs/>
          <w:sz w:val="22"/>
        </w:rPr>
      </w:pPr>
    </w:p>
    <w:p w14:paraId="220B05E4" w14:textId="17528FEC" w:rsidR="005A6880" w:rsidRDefault="005A1359" w:rsidP="005A6880">
      <w:pPr>
        <w:jc w:val="both"/>
        <w:rPr>
          <w:rFonts w:ascii="Source Sans Pro" w:hAnsi="Source Sans Pro"/>
          <w:b/>
          <w:bCs/>
          <w:sz w:val="22"/>
        </w:rPr>
      </w:pPr>
      <w:r>
        <w:rPr>
          <w:rFonts w:ascii="Source Sans Pro" w:hAnsi="Source Sans Pro"/>
          <w:b/>
          <w:bCs/>
          <w:sz w:val="22"/>
        </w:rPr>
        <w:t xml:space="preserve">Box 5 - </w:t>
      </w:r>
      <w:r w:rsidR="005A6880">
        <w:rPr>
          <w:rFonts w:ascii="Source Sans Pro" w:hAnsi="Source Sans Pro"/>
          <w:b/>
          <w:bCs/>
          <w:sz w:val="22"/>
        </w:rPr>
        <w:t>Reasons for Unsoundness</w:t>
      </w:r>
    </w:p>
    <w:p w14:paraId="5567FF90" w14:textId="77777777" w:rsidR="001D3A27" w:rsidRDefault="001D3A27" w:rsidP="005A6880">
      <w:pPr>
        <w:jc w:val="both"/>
        <w:rPr>
          <w:rFonts w:ascii="Source Sans Pro" w:hAnsi="Source Sans Pro"/>
          <w:b/>
          <w:bCs/>
          <w:sz w:val="22"/>
        </w:rPr>
      </w:pPr>
    </w:p>
    <w:p w14:paraId="0A597EC4" w14:textId="77777777" w:rsidR="005A6880" w:rsidRPr="005A1359" w:rsidRDefault="005A6880" w:rsidP="005A1359">
      <w:pPr>
        <w:ind w:firstLine="284"/>
        <w:jc w:val="both"/>
        <w:rPr>
          <w:rFonts w:ascii="Source Sans Pro" w:hAnsi="Source Sans Pro"/>
          <w:i/>
          <w:iCs/>
          <w:sz w:val="22"/>
        </w:rPr>
      </w:pPr>
      <w:r w:rsidRPr="005A1359">
        <w:rPr>
          <w:rFonts w:ascii="Source Sans Pro" w:hAnsi="Source Sans Pro"/>
          <w:b/>
          <w:bCs/>
          <w:i/>
          <w:iCs/>
          <w:sz w:val="22"/>
        </w:rPr>
        <w:t xml:space="preserve">Summary  </w:t>
      </w:r>
    </w:p>
    <w:p w14:paraId="2660EC50" w14:textId="77777777" w:rsidR="005A6880" w:rsidRDefault="005A6880" w:rsidP="005A6880">
      <w:pPr>
        <w:jc w:val="both"/>
        <w:rPr>
          <w:rFonts w:ascii="Source Sans Pro" w:hAnsi="Source Sans Pro"/>
          <w:sz w:val="22"/>
        </w:rPr>
      </w:pPr>
    </w:p>
    <w:p w14:paraId="6F567AFF" w14:textId="08897658" w:rsidR="005A6880" w:rsidRPr="00B10FFD" w:rsidRDefault="005A6880" w:rsidP="005A6880">
      <w:pPr>
        <w:pStyle w:val="ListParagraph"/>
        <w:numPr>
          <w:ilvl w:val="0"/>
          <w:numId w:val="44"/>
        </w:numPr>
        <w:ind w:left="360"/>
        <w:jc w:val="both"/>
        <w:rPr>
          <w:rFonts w:ascii="Source Sans Pro" w:hAnsi="Source Sans Pro"/>
          <w:sz w:val="22"/>
        </w:rPr>
      </w:pPr>
      <w:r w:rsidRPr="00B10FFD">
        <w:rPr>
          <w:rFonts w:ascii="Source Sans Pro" w:hAnsi="Source Sans Pro"/>
          <w:sz w:val="22"/>
        </w:rPr>
        <w:t>Policy SA7 only allocates sites forming part of the existing land supply (</w:t>
      </w:r>
      <w:proofErr w:type="spellStart"/>
      <w:r w:rsidRPr="00B10FFD">
        <w:rPr>
          <w:rFonts w:ascii="Source Sans Pro" w:hAnsi="Source Sans Pro"/>
          <w:sz w:val="22"/>
        </w:rPr>
        <w:t>i.e</w:t>
      </w:r>
      <w:proofErr w:type="spellEnd"/>
      <w:r w:rsidRPr="00B10FFD">
        <w:rPr>
          <w:rFonts w:ascii="Source Sans Pro" w:hAnsi="Source Sans Pro"/>
          <w:sz w:val="22"/>
        </w:rPr>
        <w:t xml:space="preserve"> those </w:t>
      </w:r>
      <w:r w:rsidR="00101660">
        <w:rPr>
          <w:rFonts w:ascii="Source Sans Pro" w:hAnsi="Source Sans Pro"/>
          <w:sz w:val="22"/>
        </w:rPr>
        <w:t xml:space="preserve">which are </w:t>
      </w:r>
      <w:r w:rsidRPr="00B10FFD">
        <w:rPr>
          <w:rFonts w:ascii="Source Sans Pro" w:hAnsi="Source Sans Pro"/>
          <w:sz w:val="22"/>
        </w:rPr>
        <w:t xml:space="preserve">already allocated or consented).  This is </w:t>
      </w:r>
      <w:r w:rsidR="00101660">
        <w:rPr>
          <w:rFonts w:ascii="Source Sans Pro" w:hAnsi="Source Sans Pro"/>
          <w:sz w:val="22"/>
        </w:rPr>
        <w:t xml:space="preserve">said to be </w:t>
      </w:r>
      <w:r w:rsidRPr="00B10FFD">
        <w:rPr>
          <w:rFonts w:ascii="Source Sans Pro" w:hAnsi="Source Sans Pro"/>
          <w:sz w:val="22"/>
        </w:rPr>
        <w:t xml:space="preserve">justified on the basis that there is a surplus of employment land to meet local needs (36.6 hectares), with this surplus </w:t>
      </w:r>
      <w:r w:rsidR="00101660">
        <w:rPr>
          <w:rFonts w:ascii="Source Sans Pro" w:hAnsi="Source Sans Pro"/>
          <w:sz w:val="22"/>
        </w:rPr>
        <w:t xml:space="preserve">comprising </w:t>
      </w:r>
      <w:r w:rsidRPr="00B10FFD">
        <w:rPr>
          <w:rFonts w:ascii="Source Sans Pro" w:hAnsi="Source Sans Pro"/>
          <w:sz w:val="22"/>
        </w:rPr>
        <w:t xml:space="preserve">an appropriate contribution to meet wider unmet needs, </w:t>
      </w:r>
      <w:proofErr w:type="spellStart"/>
      <w:r w:rsidRPr="00B10FFD">
        <w:rPr>
          <w:rFonts w:ascii="Source Sans Pro" w:hAnsi="Source Sans Pro"/>
          <w:sz w:val="22"/>
        </w:rPr>
        <w:t>i.e</w:t>
      </w:r>
      <w:proofErr w:type="spellEnd"/>
      <w:r w:rsidRPr="00B10FFD">
        <w:rPr>
          <w:rFonts w:ascii="Source Sans Pro" w:hAnsi="Source Sans Pro"/>
          <w:sz w:val="22"/>
        </w:rPr>
        <w:t xml:space="preserve"> those from the Black Country. </w:t>
      </w:r>
    </w:p>
    <w:p w14:paraId="63B982D8" w14:textId="77777777" w:rsidR="005A6880" w:rsidRDefault="005A6880" w:rsidP="005A6880">
      <w:pPr>
        <w:jc w:val="both"/>
        <w:rPr>
          <w:rFonts w:ascii="Source Sans Pro" w:hAnsi="Source Sans Pro"/>
          <w:sz w:val="22"/>
        </w:rPr>
      </w:pPr>
    </w:p>
    <w:p w14:paraId="5EDD7C32" w14:textId="5DB6D8BF" w:rsidR="005A6880" w:rsidRPr="00B10FFD" w:rsidRDefault="005A6880" w:rsidP="005A6880">
      <w:pPr>
        <w:pStyle w:val="ListParagraph"/>
        <w:numPr>
          <w:ilvl w:val="0"/>
          <w:numId w:val="44"/>
        </w:numPr>
        <w:ind w:left="360"/>
        <w:jc w:val="both"/>
        <w:rPr>
          <w:rFonts w:ascii="Source Sans Pro" w:hAnsi="Source Sans Pro"/>
          <w:sz w:val="22"/>
        </w:rPr>
      </w:pPr>
      <w:r w:rsidRPr="00B10FFD">
        <w:rPr>
          <w:rFonts w:ascii="Source Sans Pro" w:hAnsi="Source Sans Pro"/>
          <w:sz w:val="22"/>
        </w:rPr>
        <w:t xml:space="preserve">JLL’s </w:t>
      </w:r>
      <w:r w:rsidR="001D3A27">
        <w:rPr>
          <w:rFonts w:ascii="Source Sans Pro" w:hAnsi="Source Sans Pro"/>
          <w:sz w:val="22"/>
        </w:rPr>
        <w:t>r</w:t>
      </w:r>
      <w:r w:rsidRPr="00B10FFD">
        <w:rPr>
          <w:rFonts w:ascii="Source Sans Pro" w:hAnsi="Source Sans Pro"/>
          <w:sz w:val="22"/>
        </w:rPr>
        <w:t xml:space="preserve">epresentations in respect of Policy DS4: Development Needs considers that the need for employment land has been purposefully and significantly understated and that the supply has been substantially overstated, leading to a wholly distorted picture of the balance between local need and supply.  Instead of a surplus, JLL considers there will be a shortfall of at least 90 hectares.  </w:t>
      </w:r>
      <w:r w:rsidR="00101660">
        <w:rPr>
          <w:rFonts w:ascii="Source Sans Pro" w:hAnsi="Source Sans Pro"/>
          <w:sz w:val="22"/>
        </w:rPr>
        <w:t>The plan is presently unsound on this basis.</w:t>
      </w:r>
    </w:p>
    <w:p w14:paraId="71F2814C" w14:textId="77777777" w:rsidR="005A6880" w:rsidRDefault="005A6880" w:rsidP="005A6880">
      <w:pPr>
        <w:jc w:val="both"/>
        <w:rPr>
          <w:rFonts w:ascii="Source Sans Pro" w:hAnsi="Source Sans Pro"/>
          <w:sz w:val="22"/>
        </w:rPr>
      </w:pPr>
    </w:p>
    <w:p w14:paraId="7F573977" w14:textId="73FDFBF3" w:rsidR="005A6880" w:rsidRPr="00B10FFD" w:rsidRDefault="005A6880" w:rsidP="005A6880">
      <w:pPr>
        <w:pStyle w:val="ListParagraph"/>
        <w:numPr>
          <w:ilvl w:val="0"/>
          <w:numId w:val="44"/>
        </w:numPr>
        <w:ind w:left="360"/>
        <w:jc w:val="both"/>
        <w:rPr>
          <w:rFonts w:ascii="Source Sans Pro" w:hAnsi="Source Sans Pro"/>
          <w:sz w:val="22"/>
        </w:rPr>
      </w:pPr>
      <w:r w:rsidRPr="00B10FFD">
        <w:rPr>
          <w:rFonts w:ascii="Source Sans Pro" w:hAnsi="Source Sans Pro"/>
          <w:sz w:val="22"/>
        </w:rPr>
        <w:t>Qualitatively, there is also a</w:t>
      </w:r>
      <w:r w:rsidR="00101660">
        <w:rPr>
          <w:rFonts w:ascii="Source Sans Pro" w:hAnsi="Source Sans Pro"/>
          <w:sz w:val="22"/>
        </w:rPr>
        <w:t>n urgent</w:t>
      </w:r>
      <w:r w:rsidRPr="00B10FFD">
        <w:rPr>
          <w:rFonts w:ascii="Source Sans Pro" w:hAnsi="Source Sans Pro"/>
          <w:sz w:val="22"/>
        </w:rPr>
        <w:t xml:space="preserve"> need to bring forward new strategic employment sites to meet the wider needs of the Black Country and South Staffordshire.  This need </w:t>
      </w:r>
      <w:r w:rsidR="00D1574F">
        <w:rPr>
          <w:rFonts w:ascii="Source Sans Pro" w:hAnsi="Source Sans Pro"/>
          <w:sz w:val="22"/>
        </w:rPr>
        <w:t>h</w:t>
      </w:r>
      <w:r w:rsidRPr="00B10FFD">
        <w:rPr>
          <w:rFonts w:ascii="Source Sans Pro" w:hAnsi="Source Sans Pro"/>
          <w:sz w:val="22"/>
        </w:rPr>
        <w:t xml:space="preserve">as been identified by the West Midlands Strategic Employment Sites Study of 2021.  </w:t>
      </w:r>
      <w:r w:rsidR="005C4237">
        <w:rPr>
          <w:rFonts w:ascii="Source Sans Pro" w:hAnsi="Source Sans Pro"/>
          <w:sz w:val="22"/>
        </w:rPr>
        <w:t xml:space="preserve">An update to this study has just been commissioned on the basis that the contents of the original report </w:t>
      </w:r>
      <w:r w:rsidR="00D1574F">
        <w:rPr>
          <w:rFonts w:ascii="Source Sans Pro" w:hAnsi="Source Sans Pro"/>
          <w:sz w:val="22"/>
        </w:rPr>
        <w:t>have been</w:t>
      </w:r>
      <w:r w:rsidR="005C4237">
        <w:rPr>
          <w:rFonts w:ascii="Source Sans Pro" w:hAnsi="Source Sans Pro"/>
          <w:sz w:val="22"/>
        </w:rPr>
        <w:t xml:space="preserve"> largely ignored by </w:t>
      </w:r>
      <w:proofErr w:type="gramStart"/>
      <w:r w:rsidR="00D1574F">
        <w:rPr>
          <w:rFonts w:ascii="Source Sans Pro" w:hAnsi="Source Sans Pro"/>
          <w:sz w:val="22"/>
        </w:rPr>
        <w:t>a number of</w:t>
      </w:r>
      <w:proofErr w:type="gramEnd"/>
      <w:r w:rsidR="00D1574F">
        <w:rPr>
          <w:rFonts w:ascii="Source Sans Pro" w:hAnsi="Source Sans Pro"/>
          <w:sz w:val="22"/>
        </w:rPr>
        <w:t xml:space="preserve"> local</w:t>
      </w:r>
      <w:r w:rsidR="005C4237">
        <w:rPr>
          <w:rFonts w:ascii="Source Sans Pro" w:hAnsi="Source Sans Pro"/>
          <w:sz w:val="22"/>
        </w:rPr>
        <w:t xml:space="preserve"> authorities.</w:t>
      </w:r>
    </w:p>
    <w:p w14:paraId="504489FC" w14:textId="77777777" w:rsidR="005A6880" w:rsidRDefault="005A6880" w:rsidP="005A6880">
      <w:pPr>
        <w:jc w:val="both"/>
        <w:rPr>
          <w:rFonts w:ascii="Source Sans Pro" w:hAnsi="Source Sans Pro"/>
          <w:sz w:val="22"/>
        </w:rPr>
      </w:pPr>
    </w:p>
    <w:p w14:paraId="706E56D8" w14:textId="1A4A927E" w:rsidR="005A6880" w:rsidRPr="00B10FFD" w:rsidRDefault="005A6880" w:rsidP="005A6880">
      <w:pPr>
        <w:pStyle w:val="ListParagraph"/>
        <w:numPr>
          <w:ilvl w:val="0"/>
          <w:numId w:val="44"/>
        </w:numPr>
        <w:ind w:left="360"/>
        <w:jc w:val="both"/>
        <w:rPr>
          <w:rFonts w:ascii="Source Sans Pro" w:hAnsi="Source Sans Pro"/>
          <w:sz w:val="22"/>
        </w:rPr>
      </w:pPr>
      <w:r w:rsidRPr="00B10FFD">
        <w:rPr>
          <w:rFonts w:ascii="Source Sans Pro" w:hAnsi="Source Sans Pro"/>
          <w:sz w:val="22"/>
        </w:rPr>
        <w:t>In this context, Policy SA7 needs to identify new sites which will fill the gap</w:t>
      </w:r>
      <w:r w:rsidR="005C4237">
        <w:rPr>
          <w:rFonts w:ascii="Source Sans Pro" w:hAnsi="Source Sans Pro"/>
          <w:sz w:val="22"/>
        </w:rPr>
        <w:t xml:space="preserve"> across the FEMA</w:t>
      </w:r>
      <w:r w:rsidRPr="00B10FFD">
        <w:rPr>
          <w:rFonts w:ascii="Source Sans Pro" w:hAnsi="Source Sans Pro"/>
          <w:sz w:val="22"/>
        </w:rPr>
        <w:t xml:space="preserve">, both quantitatively and qualitatively.   </w:t>
      </w:r>
    </w:p>
    <w:p w14:paraId="5406958D" w14:textId="77777777" w:rsidR="005A6880" w:rsidRDefault="005A6880" w:rsidP="005A6880">
      <w:pPr>
        <w:jc w:val="both"/>
        <w:rPr>
          <w:rFonts w:ascii="Source Sans Pro" w:hAnsi="Source Sans Pro"/>
          <w:sz w:val="22"/>
        </w:rPr>
      </w:pPr>
    </w:p>
    <w:p w14:paraId="0F36DECB" w14:textId="753A1AF4" w:rsidR="00624557" w:rsidRDefault="005A6880" w:rsidP="005A6880">
      <w:pPr>
        <w:pStyle w:val="ListParagraph"/>
        <w:numPr>
          <w:ilvl w:val="0"/>
          <w:numId w:val="44"/>
        </w:numPr>
        <w:ind w:left="360"/>
        <w:jc w:val="both"/>
        <w:rPr>
          <w:rFonts w:ascii="Source Sans Pro" w:hAnsi="Source Sans Pro"/>
          <w:sz w:val="22"/>
        </w:rPr>
      </w:pPr>
      <w:r w:rsidRPr="00B10FFD">
        <w:rPr>
          <w:rFonts w:ascii="Source Sans Pro" w:hAnsi="Source Sans Pro"/>
          <w:sz w:val="22"/>
        </w:rPr>
        <w:t>JLL considers that the potential strategic employment site at Hilton Park at Junction 11, M6, is best</w:t>
      </w:r>
      <w:r w:rsidR="00101660">
        <w:rPr>
          <w:rFonts w:ascii="Source Sans Pro" w:hAnsi="Source Sans Pro"/>
          <w:sz w:val="22"/>
        </w:rPr>
        <w:t xml:space="preserve"> placed</w:t>
      </w:r>
      <w:r w:rsidRPr="00B10FFD">
        <w:rPr>
          <w:rFonts w:ascii="Source Sans Pro" w:hAnsi="Source Sans Pro"/>
          <w:sz w:val="22"/>
        </w:rPr>
        <w:t xml:space="preserve"> to help fill this gap.  It is an obvious reasonable alternative freestanding strategic employment site in terms of its location, its relationship to planned infrastructure </w:t>
      </w:r>
      <w:r w:rsidR="000F7417">
        <w:rPr>
          <w:rFonts w:ascii="Source Sans Pro" w:hAnsi="Source Sans Pro"/>
          <w:sz w:val="22"/>
        </w:rPr>
        <w:t>improvements (</w:t>
      </w:r>
      <w:proofErr w:type="spellStart"/>
      <w:r w:rsidR="000F7417">
        <w:rPr>
          <w:rFonts w:ascii="Source Sans Pro" w:hAnsi="Source Sans Pro"/>
          <w:sz w:val="22"/>
        </w:rPr>
        <w:t>i.e</w:t>
      </w:r>
      <w:proofErr w:type="spellEnd"/>
      <w:r w:rsidR="000F7417">
        <w:rPr>
          <w:rFonts w:ascii="Source Sans Pro" w:hAnsi="Source Sans Pro"/>
          <w:sz w:val="22"/>
        </w:rPr>
        <w:t xml:space="preserve"> the M54/M6 link road), its achievability in market terms, and its ability to meet the criteria set </w:t>
      </w:r>
      <w:r w:rsidR="005C4237">
        <w:rPr>
          <w:rFonts w:ascii="Source Sans Pro" w:hAnsi="Source Sans Pro"/>
          <w:sz w:val="22"/>
        </w:rPr>
        <w:t xml:space="preserve">out </w:t>
      </w:r>
      <w:r w:rsidR="000F7417">
        <w:rPr>
          <w:rFonts w:ascii="Source Sans Pro" w:hAnsi="Source Sans Pro"/>
          <w:sz w:val="22"/>
        </w:rPr>
        <w:t>by the West Midlands Strategic Employment Site</w:t>
      </w:r>
      <w:r w:rsidR="001D3A27">
        <w:rPr>
          <w:rFonts w:ascii="Source Sans Pro" w:hAnsi="Source Sans Pro"/>
          <w:sz w:val="22"/>
        </w:rPr>
        <w:t>s</w:t>
      </w:r>
      <w:r w:rsidR="000F7417">
        <w:rPr>
          <w:rFonts w:ascii="Source Sans Pro" w:hAnsi="Source Sans Pro"/>
          <w:sz w:val="22"/>
        </w:rPr>
        <w:t xml:space="preserve"> Study.</w:t>
      </w:r>
    </w:p>
    <w:p w14:paraId="1D6CE5FB" w14:textId="77777777" w:rsidR="000F7417" w:rsidRPr="000F7417" w:rsidRDefault="000F7417" w:rsidP="000F7417">
      <w:pPr>
        <w:pStyle w:val="ListParagraph"/>
        <w:rPr>
          <w:rFonts w:ascii="Source Sans Pro" w:hAnsi="Source Sans Pro"/>
          <w:sz w:val="22"/>
        </w:rPr>
      </w:pPr>
    </w:p>
    <w:p w14:paraId="3B7521F5" w14:textId="0CA80744" w:rsidR="000F7417" w:rsidRDefault="000F7417"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Unfortunately, this opportunity has not been recognised by the Council.  JLL considers its assessment </w:t>
      </w:r>
      <w:r w:rsidR="001D3A27">
        <w:rPr>
          <w:rFonts w:ascii="Source Sans Pro" w:hAnsi="Source Sans Pro"/>
          <w:sz w:val="22"/>
        </w:rPr>
        <w:t xml:space="preserve">of the site (Ref No: E43) </w:t>
      </w:r>
      <w:r>
        <w:rPr>
          <w:rFonts w:ascii="Source Sans Pro" w:hAnsi="Source Sans Pro"/>
          <w:sz w:val="22"/>
        </w:rPr>
        <w:t>has been</w:t>
      </w:r>
      <w:r w:rsidR="00101660">
        <w:rPr>
          <w:rFonts w:ascii="Source Sans Pro" w:hAnsi="Source Sans Pro"/>
          <w:sz w:val="22"/>
        </w:rPr>
        <w:t xml:space="preserve"> seriously</w:t>
      </w:r>
      <w:r>
        <w:rPr>
          <w:rFonts w:ascii="Source Sans Pro" w:hAnsi="Source Sans Pro"/>
          <w:sz w:val="22"/>
        </w:rPr>
        <w:t xml:space="preserve"> flawed, with this being a failure of both process and judgement.  </w:t>
      </w:r>
    </w:p>
    <w:p w14:paraId="0F495E65" w14:textId="77777777" w:rsidR="00D1574F" w:rsidRPr="00D1574F" w:rsidRDefault="00D1574F" w:rsidP="00D1574F">
      <w:pPr>
        <w:pStyle w:val="ListParagraph"/>
        <w:rPr>
          <w:rFonts w:ascii="Source Sans Pro" w:hAnsi="Source Sans Pro"/>
          <w:sz w:val="22"/>
        </w:rPr>
      </w:pPr>
    </w:p>
    <w:p w14:paraId="252B758D" w14:textId="516C2B16" w:rsidR="00D1574F" w:rsidRDefault="00D1574F" w:rsidP="00D1574F">
      <w:pPr>
        <w:jc w:val="both"/>
        <w:rPr>
          <w:rFonts w:ascii="Source Sans Pro" w:hAnsi="Source Sans Pro"/>
          <w:sz w:val="22"/>
        </w:rPr>
      </w:pPr>
    </w:p>
    <w:p w14:paraId="3DBDC37C" w14:textId="34013361" w:rsidR="00D1574F" w:rsidRDefault="00D1574F" w:rsidP="00D1574F">
      <w:pPr>
        <w:jc w:val="both"/>
        <w:rPr>
          <w:rFonts w:ascii="Source Sans Pro" w:hAnsi="Source Sans Pro"/>
          <w:sz w:val="22"/>
        </w:rPr>
      </w:pPr>
    </w:p>
    <w:p w14:paraId="2D1CE715" w14:textId="77777777" w:rsidR="00D1574F" w:rsidRPr="00D1574F" w:rsidRDefault="00D1574F" w:rsidP="00D1574F">
      <w:pPr>
        <w:jc w:val="both"/>
        <w:rPr>
          <w:rFonts w:ascii="Source Sans Pro" w:hAnsi="Source Sans Pro"/>
          <w:sz w:val="22"/>
        </w:rPr>
      </w:pPr>
    </w:p>
    <w:p w14:paraId="17A47DBC" w14:textId="526E1343" w:rsidR="000F7417" w:rsidRDefault="000F7417" w:rsidP="000F7417">
      <w:pPr>
        <w:rPr>
          <w:rFonts w:ascii="Source Sans Pro" w:hAnsi="Source Sans Pro"/>
          <w:sz w:val="22"/>
        </w:rPr>
      </w:pPr>
    </w:p>
    <w:p w14:paraId="63E5D990" w14:textId="6D43A145" w:rsidR="000F7417" w:rsidRPr="005A1359" w:rsidRDefault="000F7417" w:rsidP="005A1359">
      <w:pPr>
        <w:ind w:firstLine="284"/>
        <w:rPr>
          <w:rFonts w:ascii="Source Sans Pro" w:hAnsi="Source Sans Pro"/>
          <w:b/>
          <w:bCs/>
          <w:i/>
          <w:iCs/>
          <w:sz w:val="22"/>
        </w:rPr>
      </w:pPr>
      <w:r w:rsidRPr="005A1359">
        <w:rPr>
          <w:rFonts w:ascii="Source Sans Pro" w:hAnsi="Source Sans Pro"/>
          <w:b/>
          <w:bCs/>
          <w:i/>
          <w:iCs/>
          <w:sz w:val="22"/>
        </w:rPr>
        <w:lastRenderedPageBreak/>
        <w:t>The Opportunity at Hilton Park, Junction 11, M6</w:t>
      </w:r>
    </w:p>
    <w:p w14:paraId="568EC3B5" w14:textId="77777777" w:rsidR="000F7417" w:rsidRPr="000F7417" w:rsidRDefault="000F7417" w:rsidP="000F7417">
      <w:pPr>
        <w:rPr>
          <w:rFonts w:ascii="Source Sans Pro" w:hAnsi="Source Sans Pro"/>
          <w:b/>
          <w:bCs/>
          <w:sz w:val="22"/>
        </w:rPr>
      </w:pPr>
    </w:p>
    <w:p w14:paraId="0B6F0820" w14:textId="0CD0C6C0" w:rsidR="000F7417" w:rsidRDefault="000F7417"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The site has a gross area of 99.23 hectares (245 acres).  This reduces to 75.69 hectares (187 acres) once land acquired by the Secretary of State for construction of the </w:t>
      </w:r>
      <w:r w:rsidR="005C4237">
        <w:rPr>
          <w:rFonts w:ascii="Source Sans Pro" w:hAnsi="Source Sans Pro"/>
          <w:sz w:val="22"/>
        </w:rPr>
        <w:t xml:space="preserve">DCO approved </w:t>
      </w:r>
      <w:r>
        <w:rPr>
          <w:rFonts w:ascii="Source Sans Pro" w:hAnsi="Source Sans Pro"/>
          <w:sz w:val="22"/>
        </w:rPr>
        <w:t xml:space="preserve">M54/M6 link road is </w:t>
      </w:r>
      <w:proofErr w:type="gramStart"/>
      <w:r>
        <w:rPr>
          <w:rFonts w:ascii="Source Sans Pro" w:hAnsi="Source Sans Pro"/>
          <w:sz w:val="22"/>
        </w:rPr>
        <w:t>taken into account</w:t>
      </w:r>
      <w:proofErr w:type="gramEnd"/>
      <w:r>
        <w:rPr>
          <w:rFonts w:ascii="Source Sans Pro" w:hAnsi="Source Sans Pro"/>
          <w:sz w:val="22"/>
        </w:rPr>
        <w:t>.  The actual developable area nets down to 43.10 hectares (106.5 acres) to ensure sufficient land is provided for blue and green infrastructure</w:t>
      </w:r>
      <w:r w:rsidR="005C4237">
        <w:rPr>
          <w:rFonts w:ascii="Source Sans Pro" w:hAnsi="Source Sans Pro"/>
          <w:sz w:val="22"/>
        </w:rPr>
        <w:t xml:space="preserve"> following detailed consideration of the constraints and opportunities the site affords and taking account of statutory requirements</w:t>
      </w:r>
      <w:r>
        <w:rPr>
          <w:rFonts w:ascii="Source Sans Pro" w:hAnsi="Source Sans Pro"/>
          <w:sz w:val="22"/>
        </w:rPr>
        <w:t>.</w:t>
      </w:r>
    </w:p>
    <w:p w14:paraId="73E8DF41" w14:textId="77777777" w:rsidR="000F7417" w:rsidRDefault="000F7417" w:rsidP="000F7417">
      <w:pPr>
        <w:pStyle w:val="ListParagraph"/>
        <w:ind w:left="360"/>
        <w:jc w:val="both"/>
        <w:rPr>
          <w:rFonts w:ascii="Source Sans Pro" w:hAnsi="Source Sans Pro"/>
          <w:sz w:val="22"/>
        </w:rPr>
      </w:pPr>
    </w:p>
    <w:p w14:paraId="057EE45F" w14:textId="77777777" w:rsidR="000F7417" w:rsidRDefault="000F7417"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In market terms, the site enjoys many significant advantages.  These </w:t>
      </w:r>
      <w:proofErr w:type="gramStart"/>
      <w:r>
        <w:rPr>
          <w:rFonts w:ascii="Source Sans Pro" w:hAnsi="Source Sans Pro"/>
          <w:sz w:val="22"/>
        </w:rPr>
        <w:t>include:-</w:t>
      </w:r>
      <w:proofErr w:type="gramEnd"/>
    </w:p>
    <w:p w14:paraId="700BCD6D" w14:textId="3390FDBD" w:rsidR="000F7417" w:rsidRDefault="000F7417" w:rsidP="000F7417">
      <w:pPr>
        <w:rPr>
          <w:rFonts w:ascii="Source Sans Pro" w:hAnsi="Source Sans Pro"/>
          <w:sz w:val="22"/>
        </w:rPr>
      </w:pPr>
    </w:p>
    <w:p w14:paraId="3B0CE25D" w14:textId="406573F7" w:rsidR="000F7417" w:rsidRDefault="000F7417" w:rsidP="000F7417">
      <w:pPr>
        <w:pStyle w:val="BulletOneJLL"/>
        <w:numPr>
          <w:ilvl w:val="0"/>
          <w:numId w:val="38"/>
        </w:numPr>
        <w:tabs>
          <w:tab w:val="left" w:pos="1276"/>
        </w:tabs>
        <w:spacing w:line="240" w:lineRule="auto"/>
        <w:ind w:left="1276" w:hanging="567"/>
      </w:pPr>
      <w:r>
        <w:t xml:space="preserve">Located directly to the </w:t>
      </w:r>
      <w:r w:rsidR="004136B7">
        <w:t>southwest</w:t>
      </w:r>
      <w:r>
        <w:t xml:space="preserve"> of Junction 11 of the M6 motorway. </w:t>
      </w:r>
    </w:p>
    <w:p w14:paraId="16B49A91" w14:textId="13DEEF02" w:rsidR="000F7417" w:rsidRDefault="000F7417" w:rsidP="000F7417">
      <w:pPr>
        <w:pStyle w:val="BulletOneJLL"/>
        <w:numPr>
          <w:ilvl w:val="0"/>
          <w:numId w:val="38"/>
        </w:numPr>
        <w:tabs>
          <w:tab w:val="left" w:pos="1276"/>
        </w:tabs>
        <w:spacing w:line="240" w:lineRule="auto"/>
        <w:ind w:left="1276" w:hanging="567"/>
      </w:pPr>
      <w:r>
        <w:t>Direct access to the A460, which connects to the M6 at Junction 11.</w:t>
      </w:r>
    </w:p>
    <w:p w14:paraId="6A83E230" w14:textId="772F4059" w:rsidR="000F7417" w:rsidRDefault="000F7417" w:rsidP="000F7417">
      <w:pPr>
        <w:pStyle w:val="BulletOneJLL"/>
        <w:numPr>
          <w:ilvl w:val="0"/>
          <w:numId w:val="38"/>
        </w:numPr>
        <w:tabs>
          <w:tab w:val="left" w:pos="1276"/>
        </w:tabs>
        <w:spacing w:line="240" w:lineRule="auto"/>
        <w:ind w:left="1276" w:hanging="567"/>
      </w:pPr>
      <w:r>
        <w:t xml:space="preserve">Easy access via the A460 to the Pentalver Rail Freight Interchange at Cannock and to the </w:t>
      </w:r>
      <w:r w:rsidR="001D3A27">
        <w:t xml:space="preserve">proposed </w:t>
      </w:r>
      <w:r>
        <w:t>West Midlands Interchange at Gailey (Junction 12, M6).</w:t>
      </w:r>
    </w:p>
    <w:p w14:paraId="6AC49BA1" w14:textId="59BCD69B" w:rsidR="004136B7" w:rsidRDefault="004136B7" w:rsidP="000F7417">
      <w:pPr>
        <w:pStyle w:val="BulletOneJLL"/>
        <w:numPr>
          <w:ilvl w:val="0"/>
          <w:numId w:val="38"/>
        </w:numPr>
        <w:tabs>
          <w:tab w:val="left" w:pos="1276"/>
        </w:tabs>
        <w:spacing w:line="240" w:lineRule="auto"/>
        <w:ind w:left="1276" w:hanging="567"/>
      </w:pPr>
      <w:r>
        <w:t>E</w:t>
      </w:r>
      <w:r w:rsidR="00D1574F">
        <w:t xml:space="preserve">asy </w:t>
      </w:r>
      <w:r>
        <w:t>access to the approved M54/M6 link road via Junction 11 M6, leading to J1 M54</w:t>
      </w:r>
    </w:p>
    <w:p w14:paraId="016CB168" w14:textId="0AC030AA" w:rsidR="000F7417" w:rsidRDefault="000F7417" w:rsidP="000F7417">
      <w:pPr>
        <w:pStyle w:val="BulletOneJLL"/>
        <w:numPr>
          <w:ilvl w:val="0"/>
          <w:numId w:val="38"/>
        </w:numPr>
        <w:tabs>
          <w:tab w:val="left" w:pos="1276"/>
        </w:tabs>
        <w:spacing w:line="240" w:lineRule="auto"/>
        <w:ind w:left="1276" w:hanging="567"/>
      </w:pPr>
      <w:r>
        <w:t>A location accessible to the principal settlements in the area (</w:t>
      </w:r>
      <w:proofErr w:type="spellStart"/>
      <w:r>
        <w:t>i.e</w:t>
      </w:r>
      <w:proofErr w:type="spellEnd"/>
      <w:r>
        <w:t xml:space="preserve"> the Black Country, Cannock, </w:t>
      </w:r>
      <w:proofErr w:type="gramStart"/>
      <w:r>
        <w:t>Stafford</w:t>
      </w:r>
      <w:proofErr w:type="gramEnd"/>
      <w:r>
        <w:t xml:space="preserve"> and Lichfield), giving good reach to the local labour supply.</w:t>
      </w:r>
    </w:p>
    <w:p w14:paraId="11779C42" w14:textId="2EACF63F" w:rsidR="000F7417" w:rsidRDefault="000F7417" w:rsidP="000F7417">
      <w:pPr>
        <w:pStyle w:val="BulletOneJLL"/>
        <w:numPr>
          <w:ilvl w:val="0"/>
          <w:numId w:val="38"/>
        </w:numPr>
        <w:tabs>
          <w:tab w:val="left" w:pos="1276"/>
        </w:tabs>
        <w:spacing w:line="240" w:lineRule="auto"/>
        <w:ind w:left="1276" w:hanging="567"/>
      </w:pPr>
      <w:r>
        <w:t>A regular shaped site with good prominence to the M6.</w:t>
      </w:r>
    </w:p>
    <w:p w14:paraId="3C6F9F83" w14:textId="1F2ABBA4" w:rsidR="000F7417" w:rsidRDefault="000F7417" w:rsidP="000F7417">
      <w:pPr>
        <w:pStyle w:val="BulletOneJLL"/>
        <w:numPr>
          <w:ilvl w:val="0"/>
          <w:numId w:val="38"/>
        </w:numPr>
        <w:tabs>
          <w:tab w:val="left" w:pos="1276"/>
        </w:tabs>
        <w:spacing w:line="240" w:lineRule="auto"/>
        <w:ind w:left="1276" w:hanging="567"/>
      </w:pPr>
      <w:r>
        <w:t xml:space="preserve">A large sized site that can accommodate a critical mass of buildings, ranging from 5,000 </w:t>
      </w:r>
      <w:proofErr w:type="spellStart"/>
      <w:r>
        <w:t>sq</w:t>
      </w:r>
      <w:proofErr w:type="spellEnd"/>
      <w:r>
        <w:t xml:space="preserve"> ft to 250,000 </w:t>
      </w:r>
      <w:proofErr w:type="spellStart"/>
      <w:r>
        <w:t>sq</w:t>
      </w:r>
      <w:proofErr w:type="spellEnd"/>
      <w:r>
        <w:t xml:space="preserve"> ft</w:t>
      </w:r>
      <w:r w:rsidR="004136B7">
        <w:t>, to</w:t>
      </w:r>
      <w:r w:rsidR="00D1574F">
        <w:t>t</w:t>
      </w:r>
      <w:r w:rsidR="004136B7">
        <w:t xml:space="preserve">alling up to </w:t>
      </w:r>
      <w:r w:rsidR="00D1574F">
        <w:t xml:space="preserve">175,000 </w:t>
      </w:r>
      <w:proofErr w:type="spellStart"/>
      <w:r w:rsidR="00D1574F">
        <w:t>sq</w:t>
      </w:r>
      <w:proofErr w:type="spellEnd"/>
      <w:r w:rsidR="00D1574F">
        <w:t xml:space="preserve"> m (1.9 million)</w:t>
      </w:r>
      <w:r w:rsidR="004136B7">
        <w:t xml:space="preserve"> </w:t>
      </w:r>
      <w:proofErr w:type="spellStart"/>
      <w:r w:rsidR="004136B7">
        <w:t>sq</w:t>
      </w:r>
      <w:proofErr w:type="spellEnd"/>
      <w:r w:rsidR="004136B7">
        <w:t xml:space="preserve"> ft across B1,</w:t>
      </w:r>
      <w:r w:rsidR="00D1574F">
        <w:t xml:space="preserve"> </w:t>
      </w:r>
      <w:r w:rsidR="004136B7">
        <w:t>B2 &amp; B8 uses</w:t>
      </w:r>
    </w:p>
    <w:p w14:paraId="63045627" w14:textId="77777777" w:rsidR="000F7417" w:rsidRPr="000F7417" w:rsidRDefault="000F7417" w:rsidP="000F7417">
      <w:pPr>
        <w:pStyle w:val="BulletOneJLL"/>
        <w:tabs>
          <w:tab w:val="left" w:pos="1276"/>
        </w:tabs>
        <w:spacing w:line="240" w:lineRule="auto"/>
        <w:ind w:left="1276" w:firstLine="0"/>
      </w:pPr>
    </w:p>
    <w:p w14:paraId="583C4703" w14:textId="62A4A360" w:rsidR="000F7417" w:rsidRDefault="000F7417" w:rsidP="00493754">
      <w:pPr>
        <w:pStyle w:val="ListParagraph"/>
        <w:numPr>
          <w:ilvl w:val="0"/>
          <w:numId w:val="44"/>
        </w:numPr>
        <w:ind w:left="360"/>
        <w:jc w:val="both"/>
        <w:rPr>
          <w:rFonts w:ascii="Source Sans Pro" w:hAnsi="Source Sans Pro"/>
          <w:sz w:val="22"/>
        </w:rPr>
      </w:pPr>
      <w:r w:rsidRPr="00D1574F">
        <w:rPr>
          <w:rFonts w:ascii="Source Sans Pro" w:hAnsi="Source Sans Pro"/>
          <w:sz w:val="22"/>
        </w:rPr>
        <w:t>The location</w:t>
      </w:r>
      <w:r w:rsidR="00C5462F" w:rsidRPr="00D1574F">
        <w:rPr>
          <w:rFonts w:ascii="Source Sans Pro" w:hAnsi="Source Sans Pro"/>
          <w:sz w:val="22"/>
        </w:rPr>
        <w:t>al advantages</w:t>
      </w:r>
      <w:r w:rsidRPr="00D1574F">
        <w:rPr>
          <w:rFonts w:ascii="Source Sans Pro" w:hAnsi="Source Sans Pro"/>
          <w:sz w:val="22"/>
        </w:rPr>
        <w:t xml:space="preserve"> of the site will be further improved when the proposed M5</w:t>
      </w:r>
      <w:r w:rsidR="006444B9" w:rsidRPr="00D1574F">
        <w:rPr>
          <w:rFonts w:ascii="Source Sans Pro" w:hAnsi="Source Sans Pro"/>
          <w:sz w:val="22"/>
        </w:rPr>
        <w:t>4</w:t>
      </w:r>
      <w:r w:rsidRPr="00D1574F">
        <w:rPr>
          <w:rFonts w:ascii="Source Sans Pro" w:hAnsi="Source Sans Pro"/>
          <w:sz w:val="22"/>
        </w:rPr>
        <w:t xml:space="preserve">/M6 link road is built and operational.  </w:t>
      </w:r>
      <w:r w:rsidR="00C5462F" w:rsidRPr="00D1574F">
        <w:rPr>
          <w:rFonts w:ascii="Source Sans Pro" w:hAnsi="Source Sans Pro"/>
          <w:sz w:val="22"/>
        </w:rPr>
        <w:t>Indeed</w:t>
      </w:r>
      <w:r w:rsidR="00226645" w:rsidRPr="00D1574F">
        <w:rPr>
          <w:rFonts w:ascii="Source Sans Pro" w:hAnsi="Source Sans Pro"/>
          <w:sz w:val="22"/>
        </w:rPr>
        <w:t>,</w:t>
      </w:r>
      <w:r w:rsidR="00C5462F" w:rsidRPr="00D1574F">
        <w:rPr>
          <w:rFonts w:ascii="Source Sans Pro" w:hAnsi="Source Sans Pro"/>
          <w:sz w:val="22"/>
        </w:rPr>
        <w:t xml:space="preserve"> it will become one of the best </w:t>
      </w:r>
      <w:r w:rsidR="00226645" w:rsidRPr="00D1574F">
        <w:rPr>
          <w:rFonts w:ascii="Source Sans Pro" w:hAnsi="Source Sans Pro"/>
          <w:sz w:val="22"/>
        </w:rPr>
        <w:t xml:space="preserve">industrial and </w:t>
      </w:r>
      <w:r w:rsidR="00C5462F" w:rsidRPr="00D1574F">
        <w:rPr>
          <w:rFonts w:ascii="Source Sans Pro" w:hAnsi="Source Sans Pro"/>
          <w:sz w:val="22"/>
        </w:rPr>
        <w:t xml:space="preserve">logistics sites north of the Birmingham conurbation. </w:t>
      </w:r>
      <w:r w:rsidRPr="00D1574F">
        <w:rPr>
          <w:rFonts w:ascii="Source Sans Pro" w:hAnsi="Source Sans Pro"/>
          <w:sz w:val="22"/>
        </w:rPr>
        <w:t xml:space="preserve">Construction is due to start in early 2023 and the road should be operational from 2025.  This link road will significantly increase road capacity on the A460 and will make Junction 11 a strong nodal point on the national and regional motorway network, providing a crossroads connection to the M54, M6 and M6 (Toll).  </w:t>
      </w:r>
    </w:p>
    <w:p w14:paraId="611C8BC4" w14:textId="77777777" w:rsidR="00D1574F" w:rsidRPr="00D1574F" w:rsidRDefault="00D1574F" w:rsidP="00D1574F">
      <w:pPr>
        <w:pStyle w:val="ListParagraph"/>
        <w:ind w:left="360"/>
        <w:jc w:val="both"/>
        <w:rPr>
          <w:rFonts w:ascii="Source Sans Pro" w:hAnsi="Source Sans Pro"/>
          <w:sz w:val="22"/>
        </w:rPr>
      </w:pPr>
    </w:p>
    <w:p w14:paraId="2F3B291D" w14:textId="4CDD3620" w:rsidR="000F7417" w:rsidRDefault="000F7417"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The site is free of major constraints.  There are no obvious physical limitations or issues such as access that cannot be mitigated satisfactorily.  Aside from the </w:t>
      </w:r>
      <w:r w:rsidR="00C5462F">
        <w:rPr>
          <w:rFonts w:ascii="Source Sans Pro" w:hAnsi="Source Sans Pro"/>
          <w:sz w:val="22"/>
        </w:rPr>
        <w:t xml:space="preserve">policy constraint of </w:t>
      </w:r>
      <w:r>
        <w:rPr>
          <w:rFonts w:ascii="Source Sans Pro" w:hAnsi="Source Sans Pro"/>
          <w:sz w:val="22"/>
        </w:rPr>
        <w:t xml:space="preserve">Green Belt, which </w:t>
      </w:r>
      <w:r w:rsidR="00C5462F">
        <w:rPr>
          <w:rFonts w:ascii="Source Sans Pro" w:hAnsi="Source Sans Pro"/>
          <w:sz w:val="22"/>
        </w:rPr>
        <w:t xml:space="preserve">restricts </w:t>
      </w:r>
      <w:r>
        <w:rPr>
          <w:rFonts w:ascii="Source Sans Pro" w:hAnsi="Source Sans Pro"/>
          <w:sz w:val="22"/>
        </w:rPr>
        <w:t>any development outside the built</w:t>
      </w:r>
      <w:r w:rsidR="00226645">
        <w:rPr>
          <w:rFonts w:ascii="Source Sans Pro" w:hAnsi="Source Sans Pro"/>
          <w:sz w:val="22"/>
        </w:rPr>
        <w:t>-</w:t>
      </w:r>
      <w:r>
        <w:rPr>
          <w:rFonts w:ascii="Source Sans Pro" w:hAnsi="Source Sans Pro"/>
          <w:sz w:val="22"/>
        </w:rPr>
        <w:t xml:space="preserve">up area of the Black Country, including much of South Staffordshire, the site is not designated by the adopted Local Plan for any landscape or conservation purposes. </w:t>
      </w:r>
    </w:p>
    <w:p w14:paraId="7A75FB67" w14:textId="77777777" w:rsidR="00C5462F" w:rsidRPr="00226645" w:rsidRDefault="00C5462F" w:rsidP="00226645">
      <w:pPr>
        <w:pStyle w:val="ListParagraph"/>
        <w:rPr>
          <w:rFonts w:ascii="Source Sans Pro" w:hAnsi="Source Sans Pro"/>
          <w:sz w:val="22"/>
        </w:rPr>
      </w:pPr>
    </w:p>
    <w:p w14:paraId="1ABA5C5C" w14:textId="0A17ACBF" w:rsidR="00C5462F" w:rsidRDefault="006E664F" w:rsidP="005A6880">
      <w:pPr>
        <w:pStyle w:val="ListParagraph"/>
        <w:numPr>
          <w:ilvl w:val="0"/>
          <w:numId w:val="44"/>
        </w:numPr>
        <w:ind w:left="360"/>
        <w:jc w:val="both"/>
        <w:rPr>
          <w:rFonts w:ascii="Source Sans Pro" w:hAnsi="Source Sans Pro"/>
          <w:sz w:val="22"/>
        </w:rPr>
      </w:pPr>
      <w:r>
        <w:rPr>
          <w:rFonts w:ascii="Source Sans Pro" w:hAnsi="Source Sans Pro"/>
          <w:sz w:val="22"/>
        </w:rPr>
        <w:t>As set out below, w</w:t>
      </w:r>
      <w:r w:rsidR="00C5462F">
        <w:rPr>
          <w:rFonts w:ascii="Source Sans Pro" w:hAnsi="Source Sans Pro"/>
          <w:sz w:val="22"/>
        </w:rPr>
        <w:t>hat is inexplicable is that the Council ha</w:t>
      </w:r>
      <w:r w:rsidR="00226645">
        <w:rPr>
          <w:rFonts w:ascii="Source Sans Pro" w:hAnsi="Source Sans Pro"/>
          <w:sz w:val="22"/>
        </w:rPr>
        <w:t>s</w:t>
      </w:r>
      <w:r w:rsidR="00C5462F">
        <w:rPr>
          <w:rFonts w:ascii="Source Sans Pro" w:hAnsi="Source Sans Pro"/>
          <w:sz w:val="22"/>
        </w:rPr>
        <w:t xml:space="preserve"> consistently and repeatedly refused to update their green belt evidence base to take account of this very significant changed status in this site as a result of the DCO</w:t>
      </w:r>
      <w:r w:rsidR="003D1EF6">
        <w:rPr>
          <w:rFonts w:ascii="Source Sans Pro" w:hAnsi="Source Sans Pro"/>
          <w:sz w:val="22"/>
        </w:rPr>
        <w:t>.</w:t>
      </w:r>
    </w:p>
    <w:p w14:paraId="4A52C13E" w14:textId="77777777" w:rsidR="000F7417" w:rsidRPr="000F7417" w:rsidRDefault="000F7417" w:rsidP="000F7417">
      <w:pPr>
        <w:pStyle w:val="ListParagraph"/>
        <w:rPr>
          <w:rFonts w:ascii="Source Sans Pro" w:hAnsi="Source Sans Pro"/>
          <w:sz w:val="22"/>
        </w:rPr>
      </w:pPr>
    </w:p>
    <w:p w14:paraId="79659D5C" w14:textId="104B7EBB" w:rsidR="000F7417" w:rsidRDefault="000F7417"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In August 2020, JLL produced a </w:t>
      </w:r>
      <w:r w:rsidR="001D3A27">
        <w:rPr>
          <w:rFonts w:ascii="Source Sans Pro" w:hAnsi="Source Sans Pro"/>
          <w:sz w:val="22"/>
        </w:rPr>
        <w:t>T</w:t>
      </w:r>
      <w:r>
        <w:rPr>
          <w:rFonts w:ascii="Source Sans Pro" w:hAnsi="Source Sans Pro"/>
          <w:sz w:val="22"/>
        </w:rPr>
        <w:t xml:space="preserve">echnical </w:t>
      </w:r>
      <w:r w:rsidR="001D3A27">
        <w:rPr>
          <w:rFonts w:ascii="Source Sans Pro" w:hAnsi="Source Sans Pro"/>
          <w:sz w:val="22"/>
        </w:rPr>
        <w:t>N</w:t>
      </w:r>
      <w:r>
        <w:rPr>
          <w:rFonts w:ascii="Source Sans Pro" w:hAnsi="Source Sans Pro"/>
          <w:sz w:val="22"/>
        </w:rPr>
        <w:t xml:space="preserve">ote on </w:t>
      </w:r>
      <w:r w:rsidR="001D3A27">
        <w:rPr>
          <w:rFonts w:ascii="Source Sans Pro" w:hAnsi="Source Sans Pro"/>
          <w:sz w:val="22"/>
        </w:rPr>
        <w:t>D</w:t>
      </w:r>
      <w:r>
        <w:rPr>
          <w:rFonts w:ascii="Source Sans Pro" w:hAnsi="Source Sans Pro"/>
          <w:sz w:val="22"/>
        </w:rPr>
        <w:t xml:space="preserve">eliverability of the site.  This was submitted to the Council.  A copy of this </w:t>
      </w:r>
      <w:r w:rsidR="001D3A27">
        <w:rPr>
          <w:rFonts w:ascii="Source Sans Pro" w:hAnsi="Source Sans Pro"/>
          <w:sz w:val="22"/>
        </w:rPr>
        <w:t>T</w:t>
      </w:r>
      <w:r>
        <w:rPr>
          <w:rFonts w:ascii="Source Sans Pro" w:hAnsi="Source Sans Pro"/>
          <w:sz w:val="22"/>
        </w:rPr>
        <w:t xml:space="preserve">echnical </w:t>
      </w:r>
      <w:r w:rsidR="001D3A27">
        <w:rPr>
          <w:rFonts w:ascii="Source Sans Pro" w:hAnsi="Source Sans Pro"/>
          <w:sz w:val="22"/>
        </w:rPr>
        <w:t>N</w:t>
      </w:r>
      <w:r>
        <w:rPr>
          <w:rFonts w:ascii="Source Sans Pro" w:hAnsi="Source Sans Pro"/>
          <w:sz w:val="22"/>
        </w:rPr>
        <w:t xml:space="preserve">ote is provided as an enclosure to this </w:t>
      </w:r>
      <w:r w:rsidR="001D3A27">
        <w:rPr>
          <w:rFonts w:ascii="Source Sans Pro" w:hAnsi="Source Sans Pro"/>
          <w:sz w:val="22"/>
        </w:rPr>
        <w:t>r</w:t>
      </w:r>
      <w:r>
        <w:rPr>
          <w:rFonts w:ascii="Source Sans Pro" w:hAnsi="Source Sans Pro"/>
          <w:sz w:val="22"/>
        </w:rPr>
        <w:t>epresentation (</w:t>
      </w:r>
      <w:r>
        <w:rPr>
          <w:rFonts w:ascii="Source Sans Pro" w:hAnsi="Source Sans Pro"/>
          <w:b/>
          <w:bCs/>
          <w:sz w:val="22"/>
        </w:rPr>
        <w:t>Enclosure No. 1</w:t>
      </w:r>
      <w:r>
        <w:rPr>
          <w:rFonts w:ascii="Source Sans Pro" w:hAnsi="Source Sans Pro"/>
          <w:sz w:val="22"/>
        </w:rPr>
        <w:t xml:space="preserve">).  </w:t>
      </w:r>
    </w:p>
    <w:p w14:paraId="068155CD" w14:textId="77777777" w:rsidR="00B6795F" w:rsidRPr="00B6795F" w:rsidRDefault="00B6795F" w:rsidP="00B6795F">
      <w:pPr>
        <w:pStyle w:val="ListParagraph"/>
        <w:rPr>
          <w:rFonts w:ascii="Source Sans Pro" w:hAnsi="Source Sans Pro"/>
          <w:sz w:val="22"/>
        </w:rPr>
      </w:pPr>
    </w:p>
    <w:p w14:paraId="59A45CEC" w14:textId="23B0BCD4" w:rsidR="00B6795F" w:rsidRPr="00B6795F" w:rsidRDefault="00B6795F" w:rsidP="00B6795F">
      <w:pPr>
        <w:pStyle w:val="ListParagraph"/>
        <w:numPr>
          <w:ilvl w:val="0"/>
          <w:numId w:val="44"/>
        </w:numPr>
        <w:ind w:left="360"/>
        <w:jc w:val="both"/>
        <w:rPr>
          <w:rFonts w:ascii="Source Sans Pro" w:hAnsi="Source Sans Pro"/>
          <w:sz w:val="22"/>
        </w:rPr>
      </w:pPr>
      <w:r w:rsidRPr="00B6795F">
        <w:rPr>
          <w:rFonts w:ascii="Source Sans Pro" w:hAnsi="Source Sans Pro"/>
          <w:color w:val="000000"/>
          <w:sz w:val="22"/>
          <w:shd w:val="clear" w:color="auto" w:fill="FFFFFF"/>
        </w:rPr>
        <w:lastRenderedPageBreak/>
        <w:t xml:space="preserve">The Technical Note illustrates the latest thinking on the opportunity for development of the site and demonstrates that the proposed scheme is deliverable. The Technical Note is supported by detailed assessment and analysis from </w:t>
      </w:r>
      <w:proofErr w:type="gramStart"/>
      <w:r w:rsidRPr="00B6795F">
        <w:rPr>
          <w:rFonts w:ascii="Source Sans Pro" w:hAnsi="Source Sans Pro"/>
          <w:color w:val="000000"/>
          <w:sz w:val="22"/>
          <w:shd w:val="clear" w:color="auto" w:fill="FFFFFF"/>
        </w:rPr>
        <w:t>a number of</w:t>
      </w:r>
      <w:proofErr w:type="gramEnd"/>
      <w:r w:rsidRPr="00B6795F">
        <w:rPr>
          <w:rFonts w:ascii="Source Sans Pro" w:hAnsi="Source Sans Pro"/>
          <w:color w:val="000000"/>
          <w:sz w:val="22"/>
          <w:shd w:val="clear" w:color="auto" w:fill="FFFFFF"/>
        </w:rPr>
        <w:t xml:space="preserve"> expert consultants covering transportation, drainage, ecology, utilities and services, topography, and </w:t>
      </w:r>
      <w:r w:rsidR="004136B7" w:rsidRPr="00B6795F">
        <w:rPr>
          <w:rFonts w:ascii="Source Sans Pro" w:hAnsi="Source Sans Pro"/>
          <w:color w:val="000000"/>
          <w:sz w:val="22"/>
          <w:shd w:val="clear" w:color="auto" w:fill="FFFFFF"/>
        </w:rPr>
        <w:t>master planning</w:t>
      </w:r>
      <w:r w:rsidRPr="00B6795F">
        <w:rPr>
          <w:rFonts w:ascii="Source Sans Pro" w:hAnsi="Source Sans Pro"/>
          <w:color w:val="000000"/>
          <w:sz w:val="22"/>
          <w:shd w:val="clear" w:color="auto" w:fill="FFFFFF"/>
        </w:rPr>
        <w:t>. Specifically, it addresses: -</w:t>
      </w:r>
    </w:p>
    <w:p w14:paraId="118DB808" w14:textId="77777777" w:rsidR="00B6795F" w:rsidRPr="00002500" w:rsidRDefault="00B6795F" w:rsidP="00B6795F">
      <w:pPr>
        <w:pStyle w:val="BulletOneJLL"/>
        <w:ind w:left="709" w:hanging="709"/>
        <w:jc w:val="both"/>
        <w:rPr>
          <w:color w:val="000000"/>
          <w:shd w:val="clear" w:color="auto" w:fill="FFFFFF"/>
        </w:rPr>
      </w:pPr>
    </w:p>
    <w:p w14:paraId="32916E72" w14:textId="778D40A9" w:rsidR="00B6795F" w:rsidRPr="00D1574F" w:rsidRDefault="00B6795F" w:rsidP="002C3A7B">
      <w:pPr>
        <w:pStyle w:val="BulletOneJLL"/>
        <w:numPr>
          <w:ilvl w:val="0"/>
          <w:numId w:val="48"/>
        </w:numPr>
        <w:spacing w:after="0" w:line="240" w:lineRule="auto"/>
        <w:ind w:left="1276" w:hanging="567"/>
        <w:jc w:val="both"/>
        <w:rPr>
          <w:color w:val="000000"/>
        </w:rPr>
      </w:pPr>
      <w:r w:rsidRPr="00D1574F">
        <w:rPr>
          <w:color w:val="000000"/>
          <w:shd w:val="clear" w:color="auto" w:fill="FFFFFF"/>
        </w:rPr>
        <w:t xml:space="preserve">The impact of the M54/M6 link road on the development of the site. </w:t>
      </w:r>
    </w:p>
    <w:p w14:paraId="00F69972" w14:textId="77777777" w:rsidR="00D1574F" w:rsidRPr="00D1574F" w:rsidRDefault="00D1574F" w:rsidP="00D1574F">
      <w:pPr>
        <w:pStyle w:val="BulletOneJLL"/>
        <w:spacing w:after="0" w:line="240" w:lineRule="auto"/>
        <w:ind w:left="1276" w:firstLine="0"/>
        <w:jc w:val="both"/>
        <w:rPr>
          <w:color w:val="000000"/>
        </w:rPr>
      </w:pPr>
    </w:p>
    <w:p w14:paraId="1046CCD4" w14:textId="6A5F8BCB" w:rsidR="00B6795F" w:rsidRPr="00002500" w:rsidRDefault="00B6795F" w:rsidP="00B6795F">
      <w:pPr>
        <w:pStyle w:val="BulletOneJLL"/>
        <w:numPr>
          <w:ilvl w:val="0"/>
          <w:numId w:val="48"/>
        </w:numPr>
        <w:spacing w:after="0" w:line="240" w:lineRule="auto"/>
        <w:ind w:left="1276" w:hanging="567"/>
        <w:jc w:val="both"/>
        <w:rPr>
          <w:color w:val="000000"/>
        </w:rPr>
      </w:pPr>
      <w:r w:rsidRPr="00002500">
        <w:rPr>
          <w:color w:val="000000"/>
          <w:shd w:val="clear" w:color="auto" w:fill="FFFFFF"/>
        </w:rPr>
        <w:t xml:space="preserve">How to retain the more valuable ecological features of the site, mitigate for any loss, and manage a net gain in terms of </w:t>
      </w:r>
      <w:r w:rsidR="004136B7" w:rsidRPr="00002500">
        <w:rPr>
          <w:color w:val="000000"/>
          <w:shd w:val="clear" w:color="auto" w:fill="FFFFFF"/>
        </w:rPr>
        <w:t>bio</w:t>
      </w:r>
      <w:r w:rsidR="004136B7">
        <w:rPr>
          <w:color w:val="000000"/>
          <w:shd w:val="clear" w:color="auto" w:fill="FFFFFF"/>
        </w:rPr>
        <w:t>diversity</w:t>
      </w:r>
      <w:r w:rsidRPr="00002500">
        <w:rPr>
          <w:color w:val="000000"/>
          <w:shd w:val="clear" w:color="auto" w:fill="FFFFFF"/>
        </w:rPr>
        <w:t xml:space="preserve">. </w:t>
      </w:r>
    </w:p>
    <w:p w14:paraId="072CAA73" w14:textId="77777777" w:rsidR="00B6795F" w:rsidRPr="00002500" w:rsidRDefault="00B6795F" w:rsidP="00B6795F">
      <w:pPr>
        <w:pStyle w:val="ListParagraph"/>
        <w:ind w:left="1276" w:hanging="567"/>
        <w:rPr>
          <w:rFonts w:ascii="Source Sans Pro" w:hAnsi="Source Sans Pro"/>
          <w:color w:val="000000"/>
          <w:sz w:val="22"/>
          <w:shd w:val="clear" w:color="auto" w:fill="FFFFFF"/>
        </w:rPr>
      </w:pPr>
    </w:p>
    <w:p w14:paraId="5793B18D" w14:textId="77777777" w:rsidR="00B6795F" w:rsidRPr="00002500" w:rsidRDefault="00B6795F" w:rsidP="00B6795F">
      <w:pPr>
        <w:pStyle w:val="BulletOneJLL"/>
        <w:numPr>
          <w:ilvl w:val="0"/>
          <w:numId w:val="48"/>
        </w:numPr>
        <w:spacing w:after="0" w:line="240" w:lineRule="auto"/>
        <w:ind w:left="1276" w:hanging="567"/>
        <w:jc w:val="both"/>
        <w:rPr>
          <w:color w:val="000000"/>
        </w:rPr>
      </w:pPr>
      <w:r w:rsidRPr="00002500">
        <w:rPr>
          <w:color w:val="000000"/>
          <w:shd w:val="clear" w:color="auto" w:fill="FFFFFF"/>
        </w:rPr>
        <w:t>How best to drain the site using SUD</w:t>
      </w:r>
      <w:r>
        <w:rPr>
          <w:color w:val="000000"/>
          <w:shd w:val="clear" w:color="auto" w:fill="FFFFFF"/>
        </w:rPr>
        <w:t>s</w:t>
      </w:r>
      <w:r w:rsidRPr="00002500">
        <w:rPr>
          <w:color w:val="000000"/>
          <w:shd w:val="clear" w:color="auto" w:fill="FFFFFF"/>
        </w:rPr>
        <w:t xml:space="preserve">. </w:t>
      </w:r>
    </w:p>
    <w:p w14:paraId="580F5BC4" w14:textId="77777777" w:rsidR="00B6795F" w:rsidRPr="00002500" w:rsidRDefault="00B6795F" w:rsidP="00B6795F">
      <w:pPr>
        <w:pStyle w:val="ListParagraph"/>
        <w:ind w:left="1276" w:hanging="567"/>
        <w:rPr>
          <w:rFonts w:ascii="Source Sans Pro" w:hAnsi="Source Sans Pro"/>
          <w:color w:val="000000"/>
          <w:sz w:val="22"/>
          <w:shd w:val="clear" w:color="auto" w:fill="FFFFFF"/>
        </w:rPr>
      </w:pPr>
    </w:p>
    <w:p w14:paraId="60405D78" w14:textId="77777777" w:rsidR="00B6795F" w:rsidRPr="00002500" w:rsidRDefault="00B6795F" w:rsidP="00B6795F">
      <w:pPr>
        <w:pStyle w:val="BulletOneJLL"/>
        <w:numPr>
          <w:ilvl w:val="0"/>
          <w:numId w:val="48"/>
        </w:numPr>
        <w:spacing w:after="0" w:line="240" w:lineRule="auto"/>
        <w:ind w:left="1276" w:hanging="567"/>
        <w:jc w:val="both"/>
        <w:rPr>
          <w:color w:val="000000"/>
        </w:rPr>
      </w:pPr>
      <w:r w:rsidRPr="00002500">
        <w:rPr>
          <w:color w:val="000000"/>
          <w:shd w:val="clear" w:color="auto" w:fill="FFFFFF"/>
        </w:rPr>
        <w:t xml:space="preserve">The creation of development plateaus, following a detailed cut and fill assessment. </w:t>
      </w:r>
    </w:p>
    <w:p w14:paraId="204EBAAF" w14:textId="77777777" w:rsidR="00B6795F" w:rsidRPr="00002500" w:rsidRDefault="00B6795F" w:rsidP="00B6795F">
      <w:pPr>
        <w:pStyle w:val="ListParagraph"/>
        <w:ind w:left="1276" w:hanging="567"/>
        <w:rPr>
          <w:rFonts w:ascii="Source Sans Pro" w:hAnsi="Source Sans Pro"/>
          <w:color w:val="000000"/>
          <w:sz w:val="22"/>
          <w:shd w:val="clear" w:color="auto" w:fill="FFFFFF"/>
        </w:rPr>
      </w:pPr>
    </w:p>
    <w:p w14:paraId="075C893E" w14:textId="77777777" w:rsidR="00B6795F" w:rsidRPr="00002500" w:rsidRDefault="00B6795F" w:rsidP="00B6795F">
      <w:pPr>
        <w:pStyle w:val="BulletOneJLL"/>
        <w:numPr>
          <w:ilvl w:val="0"/>
          <w:numId w:val="48"/>
        </w:numPr>
        <w:spacing w:after="0" w:line="240" w:lineRule="auto"/>
        <w:ind w:left="1276" w:hanging="567"/>
        <w:jc w:val="both"/>
        <w:rPr>
          <w:color w:val="000000"/>
        </w:rPr>
      </w:pPr>
      <w:r w:rsidRPr="00002500">
        <w:rPr>
          <w:color w:val="000000"/>
          <w:shd w:val="clear" w:color="auto" w:fill="FFFFFF"/>
        </w:rPr>
        <w:t xml:space="preserve">Transportation and highways issues. </w:t>
      </w:r>
    </w:p>
    <w:p w14:paraId="0409D5CF" w14:textId="77777777" w:rsidR="00B6795F" w:rsidRPr="00002500" w:rsidRDefault="00B6795F" w:rsidP="00B6795F">
      <w:pPr>
        <w:pStyle w:val="ListParagraph"/>
        <w:ind w:left="1276" w:hanging="567"/>
        <w:rPr>
          <w:rFonts w:ascii="Source Sans Pro" w:hAnsi="Source Sans Pro"/>
          <w:color w:val="000000"/>
          <w:sz w:val="22"/>
          <w:shd w:val="clear" w:color="auto" w:fill="FFFFFF"/>
        </w:rPr>
      </w:pPr>
    </w:p>
    <w:p w14:paraId="085C2837" w14:textId="77777777" w:rsidR="00B6795F" w:rsidRPr="00002500" w:rsidRDefault="00B6795F" w:rsidP="00B6795F">
      <w:pPr>
        <w:pStyle w:val="BulletOneJLL"/>
        <w:numPr>
          <w:ilvl w:val="0"/>
          <w:numId w:val="48"/>
        </w:numPr>
        <w:spacing w:after="0" w:line="240" w:lineRule="auto"/>
        <w:ind w:left="1276" w:hanging="567"/>
        <w:jc w:val="both"/>
        <w:rPr>
          <w:color w:val="000000"/>
        </w:rPr>
      </w:pPr>
      <w:r w:rsidRPr="00002500">
        <w:rPr>
          <w:color w:val="000000"/>
          <w:shd w:val="clear" w:color="auto" w:fill="FFFFFF"/>
        </w:rPr>
        <w:t xml:space="preserve">The capacity for development, with reference to an illustrative masterplan. </w:t>
      </w:r>
    </w:p>
    <w:p w14:paraId="527F7A6E" w14:textId="77777777" w:rsidR="00B6795F" w:rsidRPr="00002500" w:rsidRDefault="00B6795F" w:rsidP="00B6795F">
      <w:pPr>
        <w:pStyle w:val="ListParagraph"/>
        <w:ind w:left="1276" w:hanging="567"/>
        <w:rPr>
          <w:rFonts w:ascii="Source Sans Pro" w:hAnsi="Source Sans Pro"/>
          <w:color w:val="000000"/>
          <w:sz w:val="22"/>
          <w:shd w:val="clear" w:color="auto" w:fill="FFFFFF"/>
        </w:rPr>
      </w:pPr>
    </w:p>
    <w:p w14:paraId="7F88AD7E" w14:textId="77777777" w:rsidR="00B6795F" w:rsidRPr="00002500" w:rsidRDefault="00B6795F" w:rsidP="00B6795F">
      <w:pPr>
        <w:pStyle w:val="BulletOneJLL"/>
        <w:numPr>
          <w:ilvl w:val="0"/>
          <w:numId w:val="48"/>
        </w:numPr>
        <w:spacing w:after="0" w:line="240" w:lineRule="auto"/>
        <w:ind w:left="1276" w:hanging="567"/>
        <w:jc w:val="both"/>
        <w:rPr>
          <w:color w:val="000000"/>
        </w:rPr>
      </w:pPr>
      <w:r w:rsidRPr="00002500">
        <w:rPr>
          <w:color w:val="000000"/>
          <w:shd w:val="clear" w:color="auto" w:fill="FFFFFF"/>
        </w:rPr>
        <w:t xml:space="preserve">The feasibility of the development, with an assessment of the costs associated with necessary infrastructure, including the cost of a bridge to span the M54/M6 Link Road. </w:t>
      </w:r>
    </w:p>
    <w:p w14:paraId="7B352FFA" w14:textId="77777777" w:rsidR="00B6795F" w:rsidRDefault="00B6795F" w:rsidP="00B6795F">
      <w:pPr>
        <w:pStyle w:val="ListParagraph"/>
        <w:ind w:left="360"/>
        <w:jc w:val="both"/>
        <w:rPr>
          <w:rFonts w:ascii="Source Sans Pro" w:hAnsi="Source Sans Pro"/>
          <w:sz w:val="22"/>
        </w:rPr>
      </w:pPr>
    </w:p>
    <w:p w14:paraId="332B78F1" w14:textId="5827EC59" w:rsidR="000D0169" w:rsidRDefault="001D3A27" w:rsidP="005A6880">
      <w:pPr>
        <w:pStyle w:val="ListParagraph"/>
        <w:numPr>
          <w:ilvl w:val="0"/>
          <w:numId w:val="44"/>
        </w:numPr>
        <w:ind w:left="360"/>
        <w:jc w:val="both"/>
        <w:rPr>
          <w:rFonts w:ascii="Source Sans Pro" w:hAnsi="Source Sans Pro"/>
          <w:sz w:val="22"/>
        </w:rPr>
      </w:pPr>
      <w:r>
        <w:rPr>
          <w:rFonts w:ascii="Source Sans Pro" w:hAnsi="Source Sans Pro"/>
          <w:sz w:val="22"/>
        </w:rPr>
        <w:t>In addition, a</w:t>
      </w:r>
      <w:r w:rsidR="000D0169">
        <w:rPr>
          <w:rFonts w:ascii="Source Sans Pro" w:hAnsi="Source Sans Pro"/>
          <w:sz w:val="22"/>
        </w:rPr>
        <w:t>n independent appraisal of the site is provided by the West Midlands Strategic Employment Sites Study.  This study provide</w:t>
      </w:r>
      <w:r>
        <w:rPr>
          <w:rFonts w:ascii="Source Sans Pro" w:hAnsi="Source Sans Pro"/>
          <w:sz w:val="22"/>
        </w:rPr>
        <w:t>s</w:t>
      </w:r>
      <w:r w:rsidR="000D0169">
        <w:rPr>
          <w:rFonts w:ascii="Source Sans Pro" w:hAnsi="Source Sans Pro"/>
          <w:sz w:val="22"/>
        </w:rPr>
        <w:t xml:space="preserve"> a high</w:t>
      </w:r>
      <w:r w:rsidR="003D1EF6">
        <w:rPr>
          <w:rFonts w:ascii="Source Sans Pro" w:hAnsi="Source Sans Pro"/>
          <w:sz w:val="22"/>
        </w:rPr>
        <w:t>-</w:t>
      </w:r>
      <w:r w:rsidR="000D0169">
        <w:rPr>
          <w:rFonts w:ascii="Source Sans Pro" w:hAnsi="Source Sans Pro"/>
          <w:sz w:val="22"/>
        </w:rPr>
        <w:t>level assessment of all sites being promoted by developers as potential strategic employment sites through a call for sites exercise.  This assessment look</w:t>
      </w:r>
      <w:r>
        <w:rPr>
          <w:rFonts w:ascii="Source Sans Pro" w:hAnsi="Source Sans Pro"/>
          <w:sz w:val="22"/>
        </w:rPr>
        <w:t>s</w:t>
      </w:r>
      <w:r w:rsidR="000D0169">
        <w:rPr>
          <w:rFonts w:ascii="Source Sans Pro" w:hAnsi="Source Sans Pro"/>
          <w:sz w:val="22"/>
        </w:rPr>
        <w:t xml:space="preserve"> at 31 sites greater than 25 hectares (gross) and consider</w:t>
      </w:r>
      <w:r>
        <w:rPr>
          <w:rFonts w:ascii="Source Sans Pro" w:hAnsi="Source Sans Pro"/>
          <w:sz w:val="22"/>
        </w:rPr>
        <w:t>s</w:t>
      </w:r>
      <w:r w:rsidR="000D0169">
        <w:rPr>
          <w:rFonts w:ascii="Source Sans Pro" w:hAnsi="Source Sans Pro"/>
          <w:sz w:val="22"/>
        </w:rPr>
        <w:t xml:space="preserve"> criteria such as motorway/trunk road access, statutory designations, public transport, flood risk, ecology, </w:t>
      </w:r>
      <w:proofErr w:type="gramStart"/>
      <w:r w:rsidR="000D0169">
        <w:rPr>
          <w:rFonts w:ascii="Source Sans Pro" w:hAnsi="Source Sans Pro"/>
          <w:sz w:val="22"/>
        </w:rPr>
        <w:t>topography</w:t>
      </w:r>
      <w:proofErr w:type="gramEnd"/>
      <w:r w:rsidR="000D0169">
        <w:rPr>
          <w:rFonts w:ascii="Source Sans Pro" w:hAnsi="Source Sans Pro"/>
          <w:sz w:val="22"/>
        </w:rPr>
        <w:t xml:space="preserve"> and proximity to existing settlements.</w:t>
      </w:r>
    </w:p>
    <w:p w14:paraId="0DDE3A47" w14:textId="77777777" w:rsidR="000D0169" w:rsidRDefault="000D0169" w:rsidP="000D0169">
      <w:pPr>
        <w:pStyle w:val="ListParagraph"/>
        <w:ind w:left="360"/>
        <w:jc w:val="both"/>
        <w:rPr>
          <w:rFonts w:ascii="Source Sans Pro" w:hAnsi="Source Sans Pro"/>
          <w:sz w:val="22"/>
        </w:rPr>
      </w:pPr>
    </w:p>
    <w:p w14:paraId="2FBF231E" w14:textId="2467DF39" w:rsidR="000D0169" w:rsidRDefault="000D0169" w:rsidP="00EF40AC">
      <w:pPr>
        <w:pStyle w:val="ListParagraph"/>
        <w:numPr>
          <w:ilvl w:val="0"/>
          <w:numId w:val="44"/>
        </w:numPr>
        <w:ind w:left="360"/>
        <w:jc w:val="both"/>
        <w:rPr>
          <w:rFonts w:ascii="Source Sans Pro" w:hAnsi="Source Sans Pro"/>
          <w:sz w:val="22"/>
        </w:rPr>
      </w:pPr>
      <w:r w:rsidRPr="00D1574F">
        <w:rPr>
          <w:rFonts w:ascii="Source Sans Pro" w:hAnsi="Source Sans Pro"/>
          <w:sz w:val="22"/>
        </w:rPr>
        <w:t xml:space="preserve">Scores </w:t>
      </w:r>
      <w:r w:rsidR="001D3A27" w:rsidRPr="00D1574F">
        <w:rPr>
          <w:rFonts w:ascii="Source Sans Pro" w:hAnsi="Source Sans Pro"/>
          <w:sz w:val="22"/>
        </w:rPr>
        <w:t xml:space="preserve">for the assessed sites </w:t>
      </w:r>
      <w:r w:rsidRPr="00D1574F">
        <w:rPr>
          <w:rFonts w:ascii="Source Sans Pro" w:hAnsi="Source Sans Pro"/>
          <w:sz w:val="22"/>
        </w:rPr>
        <w:t>range from 11-19, with the lower the score the better the fit for the development opportunity with the assessment criteria.  Hilton Park achieve</w:t>
      </w:r>
      <w:r w:rsidR="001D3A27" w:rsidRPr="00D1574F">
        <w:rPr>
          <w:rFonts w:ascii="Source Sans Pro" w:hAnsi="Source Sans Pro"/>
          <w:sz w:val="22"/>
        </w:rPr>
        <w:t>s</w:t>
      </w:r>
      <w:r w:rsidRPr="00D1574F">
        <w:rPr>
          <w:rFonts w:ascii="Source Sans Pro" w:hAnsi="Source Sans Pro"/>
          <w:sz w:val="22"/>
        </w:rPr>
        <w:t xml:space="preserve"> a score of 12 – one of the </w:t>
      </w:r>
      <w:r w:rsidR="00D1574F">
        <w:rPr>
          <w:rFonts w:ascii="Source Sans Pro" w:hAnsi="Source Sans Pro"/>
          <w:sz w:val="22"/>
        </w:rPr>
        <w:t xml:space="preserve">very </w:t>
      </w:r>
      <w:r w:rsidRPr="00D1574F">
        <w:rPr>
          <w:rFonts w:ascii="Source Sans Pro" w:hAnsi="Source Sans Pro"/>
          <w:sz w:val="22"/>
        </w:rPr>
        <w:t xml:space="preserve">best scores out of the 31 sites assessed.  </w:t>
      </w:r>
    </w:p>
    <w:p w14:paraId="6E66F991" w14:textId="77777777" w:rsidR="00D1574F" w:rsidRPr="00D1574F" w:rsidRDefault="00D1574F" w:rsidP="00D1574F">
      <w:pPr>
        <w:pStyle w:val="ListParagraph"/>
        <w:rPr>
          <w:rFonts w:ascii="Source Sans Pro" w:hAnsi="Source Sans Pro"/>
          <w:sz w:val="22"/>
        </w:rPr>
      </w:pPr>
    </w:p>
    <w:p w14:paraId="147883DA" w14:textId="77777777" w:rsidR="00D1574F" w:rsidRPr="00D1574F" w:rsidRDefault="00D1574F" w:rsidP="00D1574F">
      <w:pPr>
        <w:pStyle w:val="ListParagraph"/>
        <w:ind w:left="360"/>
        <w:jc w:val="both"/>
        <w:rPr>
          <w:rFonts w:ascii="Source Sans Pro" w:hAnsi="Source Sans Pro"/>
          <w:sz w:val="22"/>
        </w:rPr>
      </w:pPr>
    </w:p>
    <w:p w14:paraId="61E7D2B7" w14:textId="0F814DC5" w:rsidR="000D0169" w:rsidRPr="005A1359" w:rsidRDefault="000D0169" w:rsidP="005A1359">
      <w:pPr>
        <w:ind w:firstLine="426"/>
        <w:rPr>
          <w:rFonts w:ascii="Source Sans Pro" w:hAnsi="Source Sans Pro"/>
          <w:b/>
          <w:bCs/>
          <w:i/>
          <w:iCs/>
          <w:sz w:val="22"/>
        </w:rPr>
      </w:pPr>
      <w:r w:rsidRPr="005A1359">
        <w:rPr>
          <w:rFonts w:ascii="Source Sans Pro" w:hAnsi="Source Sans Pro"/>
          <w:b/>
          <w:bCs/>
          <w:i/>
          <w:iCs/>
          <w:sz w:val="22"/>
        </w:rPr>
        <w:t>Assessment of Hilton Park by the Council</w:t>
      </w:r>
    </w:p>
    <w:p w14:paraId="6E9130D7" w14:textId="77777777" w:rsidR="000D0169" w:rsidRPr="000D0169" w:rsidRDefault="000D0169" w:rsidP="000D0169">
      <w:pPr>
        <w:rPr>
          <w:rFonts w:ascii="Source Sans Pro" w:hAnsi="Source Sans Pro"/>
          <w:b/>
          <w:bCs/>
          <w:sz w:val="22"/>
        </w:rPr>
      </w:pPr>
    </w:p>
    <w:p w14:paraId="43EB3D64" w14:textId="258BF907" w:rsidR="000F7417" w:rsidRDefault="000D0169"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All sites were assessed prior to the production and consultation of the Preferred Options in November 2021.  The assessments were principally carried out by the Employment </w:t>
      </w:r>
      <w:proofErr w:type="gramStart"/>
      <w:r>
        <w:rPr>
          <w:rFonts w:ascii="Source Sans Pro" w:hAnsi="Source Sans Pro"/>
          <w:sz w:val="22"/>
        </w:rPr>
        <w:t>Sites :</w:t>
      </w:r>
      <w:proofErr w:type="gramEnd"/>
      <w:r>
        <w:rPr>
          <w:rFonts w:ascii="Source Sans Pro" w:hAnsi="Source Sans Pro"/>
          <w:sz w:val="22"/>
        </w:rPr>
        <w:t xml:space="preserve"> Sites Assessment Topic Paper 2021 and an undated South Staffordshire EDNA Part 2 : Employment Land Availability Assessment.</w:t>
      </w:r>
    </w:p>
    <w:p w14:paraId="05DD59AA" w14:textId="77777777" w:rsidR="000D0169" w:rsidRDefault="000D0169" w:rsidP="000D0169">
      <w:pPr>
        <w:pStyle w:val="ListParagraph"/>
        <w:ind w:left="360"/>
        <w:jc w:val="both"/>
        <w:rPr>
          <w:rFonts w:ascii="Source Sans Pro" w:hAnsi="Source Sans Pro"/>
          <w:sz w:val="22"/>
        </w:rPr>
      </w:pPr>
    </w:p>
    <w:p w14:paraId="12DC3939" w14:textId="6E82D72A" w:rsidR="000D0169" w:rsidRDefault="000D0169"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In making </w:t>
      </w:r>
      <w:r w:rsidR="006444B9">
        <w:rPr>
          <w:rFonts w:ascii="Source Sans Pro" w:hAnsi="Source Sans Pro"/>
          <w:sz w:val="22"/>
        </w:rPr>
        <w:t>representations</w:t>
      </w:r>
      <w:r>
        <w:rPr>
          <w:rFonts w:ascii="Source Sans Pro" w:hAnsi="Source Sans Pro"/>
          <w:sz w:val="22"/>
        </w:rPr>
        <w:t xml:space="preserve"> to the Preferred Options, JLL consider</w:t>
      </w:r>
      <w:r w:rsidR="001D3A27">
        <w:rPr>
          <w:rFonts w:ascii="Source Sans Pro" w:hAnsi="Source Sans Pro"/>
          <w:sz w:val="22"/>
        </w:rPr>
        <w:t>ed</w:t>
      </w:r>
      <w:r>
        <w:rPr>
          <w:rFonts w:ascii="Source Sans Pro" w:hAnsi="Source Sans Pro"/>
          <w:sz w:val="22"/>
        </w:rPr>
        <w:t xml:space="preserve"> the assessment of the obvious development opportunity at Hilton Park (Site Ref No. 43) to be superficial and contain</w:t>
      </w:r>
      <w:r w:rsidR="001D3A27">
        <w:rPr>
          <w:rFonts w:ascii="Source Sans Pro" w:hAnsi="Source Sans Pro"/>
          <w:sz w:val="22"/>
        </w:rPr>
        <w:t>ed</w:t>
      </w:r>
      <w:r>
        <w:rPr>
          <w:rFonts w:ascii="Source Sans Pro" w:hAnsi="Source Sans Pro"/>
          <w:sz w:val="22"/>
        </w:rPr>
        <w:t xml:space="preserve"> many inaccuracies.  In addition, JLL were concerned that the assessments had not </w:t>
      </w:r>
      <w:proofErr w:type="gramStart"/>
      <w:r>
        <w:rPr>
          <w:rFonts w:ascii="Source Sans Pro" w:hAnsi="Source Sans Pro"/>
          <w:sz w:val="22"/>
        </w:rPr>
        <w:t>taken into account</w:t>
      </w:r>
      <w:proofErr w:type="gramEnd"/>
      <w:r>
        <w:rPr>
          <w:rFonts w:ascii="Source Sans Pro" w:hAnsi="Source Sans Pro"/>
          <w:sz w:val="22"/>
        </w:rPr>
        <w:t xml:space="preserve"> information supplied by JLL about the site’s capacity for development (with reference to the </w:t>
      </w:r>
      <w:r w:rsidR="001D3A27">
        <w:rPr>
          <w:rFonts w:ascii="Source Sans Pro" w:hAnsi="Source Sans Pro"/>
          <w:sz w:val="22"/>
        </w:rPr>
        <w:t>T</w:t>
      </w:r>
      <w:r>
        <w:rPr>
          <w:rFonts w:ascii="Source Sans Pro" w:hAnsi="Source Sans Pro"/>
          <w:sz w:val="22"/>
        </w:rPr>
        <w:t xml:space="preserve">echnical </w:t>
      </w:r>
      <w:r w:rsidR="001D3A27">
        <w:rPr>
          <w:rFonts w:ascii="Source Sans Pro" w:hAnsi="Source Sans Pro"/>
          <w:sz w:val="22"/>
        </w:rPr>
        <w:t>N</w:t>
      </w:r>
      <w:r>
        <w:rPr>
          <w:rFonts w:ascii="Source Sans Pro" w:hAnsi="Source Sans Pro"/>
          <w:sz w:val="22"/>
        </w:rPr>
        <w:t xml:space="preserve">ote on </w:t>
      </w:r>
      <w:r w:rsidR="001D3A27">
        <w:rPr>
          <w:rFonts w:ascii="Source Sans Pro" w:hAnsi="Source Sans Pro"/>
          <w:sz w:val="22"/>
        </w:rPr>
        <w:t>D</w:t>
      </w:r>
      <w:r>
        <w:rPr>
          <w:rFonts w:ascii="Source Sans Pro" w:hAnsi="Source Sans Pro"/>
          <w:sz w:val="22"/>
        </w:rPr>
        <w:t>eliverability)</w:t>
      </w:r>
      <w:r w:rsidR="001D3A27">
        <w:rPr>
          <w:rFonts w:ascii="Source Sans Pro" w:hAnsi="Source Sans Pro"/>
          <w:sz w:val="22"/>
        </w:rPr>
        <w:t xml:space="preserve"> or the separate assessment covered by the West Midlands Strategic Employments Sites Study</w:t>
      </w:r>
      <w:r>
        <w:rPr>
          <w:rFonts w:ascii="Source Sans Pro" w:hAnsi="Source Sans Pro"/>
          <w:sz w:val="22"/>
        </w:rPr>
        <w:t xml:space="preserve">.  </w:t>
      </w:r>
    </w:p>
    <w:p w14:paraId="5DD18E8B" w14:textId="77777777" w:rsidR="000D0169" w:rsidRPr="000D0169" w:rsidRDefault="000D0169" w:rsidP="000D0169">
      <w:pPr>
        <w:pStyle w:val="ListParagraph"/>
        <w:rPr>
          <w:rFonts w:ascii="Source Sans Pro" w:hAnsi="Source Sans Pro"/>
          <w:sz w:val="22"/>
        </w:rPr>
      </w:pPr>
    </w:p>
    <w:p w14:paraId="452CAC0F" w14:textId="312FB4BC" w:rsidR="000D0169" w:rsidRDefault="000D0169" w:rsidP="005A6880">
      <w:pPr>
        <w:pStyle w:val="ListParagraph"/>
        <w:numPr>
          <w:ilvl w:val="0"/>
          <w:numId w:val="44"/>
        </w:numPr>
        <w:ind w:left="360"/>
        <w:jc w:val="both"/>
        <w:rPr>
          <w:rFonts w:ascii="Source Sans Pro" w:hAnsi="Source Sans Pro"/>
          <w:sz w:val="22"/>
        </w:rPr>
      </w:pPr>
      <w:r>
        <w:rPr>
          <w:rFonts w:ascii="Source Sans Pro" w:hAnsi="Source Sans Pro"/>
          <w:sz w:val="22"/>
        </w:rPr>
        <w:t>A copy of the representations made at the Preferred Options stage, in the form of a response to Question 1 of the Preferred Options, is also provided as an enclosure (</w:t>
      </w:r>
      <w:r w:rsidRPr="000D0169">
        <w:rPr>
          <w:rFonts w:ascii="Source Sans Pro" w:hAnsi="Source Sans Pro"/>
          <w:b/>
          <w:bCs/>
          <w:sz w:val="22"/>
        </w:rPr>
        <w:t>Enclosure No. 2</w:t>
      </w:r>
      <w:r>
        <w:rPr>
          <w:rFonts w:ascii="Source Sans Pro" w:hAnsi="Source Sans Pro"/>
          <w:sz w:val="22"/>
        </w:rPr>
        <w:t>).  Particular reference should be had to the bullet points covered by Paragraph 27</w:t>
      </w:r>
      <w:r w:rsidR="00A03389">
        <w:rPr>
          <w:rFonts w:ascii="Source Sans Pro" w:hAnsi="Source Sans Pro"/>
          <w:sz w:val="22"/>
        </w:rPr>
        <w:t xml:space="preserve"> of the representations</w:t>
      </w:r>
      <w:r>
        <w:rPr>
          <w:rFonts w:ascii="Source Sans Pro" w:hAnsi="Source Sans Pro"/>
          <w:sz w:val="22"/>
        </w:rPr>
        <w:t>.  These cover aspects including:</w:t>
      </w:r>
      <w:r w:rsidR="00A03389">
        <w:rPr>
          <w:rFonts w:ascii="Source Sans Pro" w:hAnsi="Source Sans Pro"/>
          <w:sz w:val="22"/>
        </w:rPr>
        <w:t xml:space="preserve"> </w:t>
      </w:r>
      <w:r>
        <w:rPr>
          <w:rFonts w:ascii="Source Sans Pro" w:hAnsi="Source Sans Pro"/>
          <w:sz w:val="22"/>
        </w:rPr>
        <w:t>-</w:t>
      </w:r>
    </w:p>
    <w:p w14:paraId="6DE3A574" w14:textId="77777777" w:rsidR="000D0169" w:rsidRPr="000D0169" w:rsidRDefault="000D0169" w:rsidP="000D0169">
      <w:pPr>
        <w:pStyle w:val="ListParagraph"/>
        <w:rPr>
          <w:rFonts w:ascii="Source Sans Pro" w:hAnsi="Source Sans Pro"/>
          <w:sz w:val="22"/>
        </w:rPr>
      </w:pPr>
    </w:p>
    <w:p w14:paraId="4C2CCDE5" w14:textId="05536B7B"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Size of site.</w:t>
      </w:r>
    </w:p>
    <w:p w14:paraId="6C4F03EE" w14:textId="02604E33"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Green Belt harm.</w:t>
      </w:r>
    </w:p>
    <w:p w14:paraId="43A4A9F5" w14:textId="47B7F835"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Constraint of M54/M6 road link.</w:t>
      </w:r>
    </w:p>
    <w:p w14:paraId="77B9ED35" w14:textId="0CC66C7D"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Ecology.</w:t>
      </w:r>
    </w:p>
    <w:p w14:paraId="333CA03F" w14:textId="31509DAB"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Flooding.</w:t>
      </w:r>
    </w:p>
    <w:p w14:paraId="7CBD8907" w14:textId="5EBC5626"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TPOs.</w:t>
      </w:r>
    </w:p>
    <w:p w14:paraId="7A41CF43" w14:textId="1BA52403"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Highways impact on the A460.</w:t>
      </w:r>
    </w:p>
    <w:p w14:paraId="29634907" w14:textId="650123F9"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Market activity and developer interest.</w:t>
      </w:r>
    </w:p>
    <w:p w14:paraId="77CE063C" w14:textId="5CF28FB0"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Development constraints.</w:t>
      </w:r>
    </w:p>
    <w:p w14:paraId="607F4C78" w14:textId="0816F813"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Accessibility.</w:t>
      </w:r>
    </w:p>
    <w:p w14:paraId="7437B42F" w14:textId="00A8948E" w:rsidR="000D0169" w:rsidRDefault="000D0169" w:rsidP="000D0169">
      <w:pPr>
        <w:pStyle w:val="ListParagraph"/>
        <w:numPr>
          <w:ilvl w:val="0"/>
          <w:numId w:val="46"/>
        </w:numPr>
        <w:jc w:val="both"/>
        <w:rPr>
          <w:rFonts w:ascii="Source Sans Pro" w:hAnsi="Source Sans Pro"/>
          <w:sz w:val="22"/>
        </w:rPr>
      </w:pPr>
      <w:r>
        <w:rPr>
          <w:rFonts w:ascii="Source Sans Pro" w:hAnsi="Source Sans Pro"/>
          <w:sz w:val="22"/>
        </w:rPr>
        <w:t>Location.</w:t>
      </w:r>
    </w:p>
    <w:p w14:paraId="265F3E33" w14:textId="77777777" w:rsidR="000D0169" w:rsidRPr="000D0169" w:rsidRDefault="000D0169" w:rsidP="000D0169">
      <w:pPr>
        <w:pStyle w:val="ListParagraph"/>
        <w:rPr>
          <w:rFonts w:ascii="Source Sans Pro" w:hAnsi="Source Sans Pro"/>
          <w:sz w:val="22"/>
        </w:rPr>
      </w:pPr>
    </w:p>
    <w:p w14:paraId="2AEB77CA" w14:textId="37624D35" w:rsidR="000D0169" w:rsidRDefault="000D0169" w:rsidP="005A6880">
      <w:pPr>
        <w:pStyle w:val="ListParagraph"/>
        <w:numPr>
          <w:ilvl w:val="0"/>
          <w:numId w:val="44"/>
        </w:numPr>
        <w:ind w:left="360"/>
        <w:jc w:val="both"/>
        <w:rPr>
          <w:rFonts w:ascii="Source Sans Pro" w:hAnsi="Source Sans Pro"/>
          <w:sz w:val="22"/>
        </w:rPr>
      </w:pPr>
      <w:r>
        <w:rPr>
          <w:rFonts w:ascii="Source Sans Pro" w:hAnsi="Source Sans Pro"/>
          <w:sz w:val="22"/>
        </w:rPr>
        <w:t>The representations sought to provide information to correct inaccuracies in the assessment of the site and enable a reassessment o</w:t>
      </w:r>
      <w:r w:rsidR="00A03389">
        <w:rPr>
          <w:rFonts w:ascii="Source Sans Pro" w:hAnsi="Source Sans Pro"/>
          <w:sz w:val="22"/>
        </w:rPr>
        <w:t>f</w:t>
      </w:r>
      <w:r>
        <w:rPr>
          <w:rFonts w:ascii="Source Sans Pro" w:hAnsi="Source Sans Pro"/>
          <w:sz w:val="22"/>
        </w:rPr>
        <w:t xml:space="preserve"> the opportunity that JLL</w:t>
      </w:r>
      <w:r w:rsidR="00A03389">
        <w:rPr>
          <w:rFonts w:ascii="Source Sans Pro" w:hAnsi="Source Sans Pro"/>
          <w:sz w:val="22"/>
        </w:rPr>
        <w:t xml:space="preserve"> (and the authors of the West Midlands Strategic Employment Sites Study)</w:t>
      </w:r>
      <w:r>
        <w:rPr>
          <w:rFonts w:ascii="Source Sans Pro" w:hAnsi="Source Sans Pro"/>
          <w:sz w:val="22"/>
        </w:rPr>
        <w:t xml:space="preserve"> believes exists.  JLL argued that, like all sites, Hilton Park has some </w:t>
      </w:r>
      <w:r w:rsidR="00A03389">
        <w:rPr>
          <w:rFonts w:ascii="Source Sans Pro" w:hAnsi="Source Sans Pro"/>
          <w:sz w:val="22"/>
        </w:rPr>
        <w:t>con</w:t>
      </w:r>
      <w:r>
        <w:rPr>
          <w:rFonts w:ascii="Source Sans Pro" w:hAnsi="Source Sans Pro"/>
          <w:sz w:val="22"/>
        </w:rPr>
        <w:t xml:space="preserve">straints.  However, these constraints are </w:t>
      </w:r>
      <w:r w:rsidR="006E664F">
        <w:rPr>
          <w:rFonts w:ascii="Source Sans Pro" w:hAnsi="Source Sans Pro"/>
          <w:sz w:val="22"/>
        </w:rPr>
        <w:t xml:space="preserve">very </w:t>
      </w:r>
      <w:r>
        <w:rPr>
          <w:rFonts w:ascii="Source Sans Pro" w:hAnsi="Source Sans Pro"/>
          <w:sz w:val="22"/>
        </w:rPr>
        <w:t xml:space="preserve">substantially outweighed by the opportunities (particularly its location and scale).  Moreover, </w:t>
      </w:r>
      <w:proofErr w:type="spellStart"/>
      <w:r>
        <w:rPr>
          <w:rFonts w:ascii="Source Sans Pro" w:hAnsi="Source Sans Pro"/>
          <w:sz w:val="22"/>
        </w:rPr>
        <w:t>Nurton</w:t>
      </w:r>
      <w:proofErr w:type="spellEnd"/>
      <w:r>
        <w:rPr>
          <w:rFonts w:ascii="Source Sans Pro" w:hAnsi="Source Sans Pro"/>
          <w:sz w:val="22"/>
        </w:rPr>
        <w:t xml:space="preserve"> Developments Limited has demonstrated through the submission of a </w:t>
      </w:r>
      <w:r w:rsidR="00A03389">
        <w:rPr>
          <w:rFonts w:ascii="Source Sans Pro" w:hAnsi="Source Sans Pro"/>
          <w:sz w:val="22"/>
        </w:rPr>
        <w:t>T</w:t>
      </w:r>
      <w:r>
        <w:rPr>
          <w:rFonts w:ascii="Source Sans Pro" w:hAnsi="Source Sans Pro"/>
          <w:sz w:val="22"/>
        </w:rPr>
        <w:t xml:space="preserve">echnical </w:t>
      </w:r>
      <w:r w:rsidR="00A03389">
        <w:rPr>
          <w:rFonts w:ascii="Source Sans Pro" w:hAnsi="Source Sans Pro"/>
          <w:sz w:val="22"/>
        </w:rPr>
        <w:t>N</w:t>
      </w:r>
      <w:r>
        <w:rPr>
          <w:rFonts w:ascii="Source Sans Pro" w:hAnsi="Source Sans Pro"/>
          <w:sz w:val="22"/>
        </w:rPr>
        <w:t xml:space="preserve">ote on </w:t>
      </w:r>
      <w:r w:rsidR="00A03389">
        <w:rPr>
          <w:rFonts w:ascii="Source Sans Pro" w:hAnsi="Source Sans Pro"/>
          <w:sz w:val="22"/>
        </w:rPr>
        <w:t>D</w:t>
      </w:r>
      <w:r>
        <w:rPr>
          <w:rFonts w:ascii="Source Sans Pro" w:hAnsi="Source Sans Pro"/>
          <w:sz w:val="22"/>
        </w:rPr>
        <w:t>eliverability that the constraints can be overcome through recognisable and realistic mitigation strategies.</w:t>
      </w:r>
    </w:p>
    <w:p w14:paraId="079724FE" w14:textId="77777777" w:rsidR="000D0169" w:rsidRDefault="000D0169" w:rsidP="000D0169">
      <w:pPr>
        <w:pStyle w:val="ListParagraph"/>
        <w:ind w:left="360"/>
        <w:jc w:val="both"/>
        <w:rPr>
          <w:rFonts w:ascii="Source Sans Pro" w:hAnsi="Source Sans Pro"/>
          <w:sz w:val="22"/>
        </w:rPr>
      </w:pPr>
    </w:p>
    <w:p w14:paraId="6EA2BCBF" w14:textId="098C2D11" w:rsidR="000D0169" w:rsidRDefault="000D0169" w:rsidP="005A6880">
      <w:pPr>
        <w:pStyle w:val="ListParagraph"/>
        <w:numPr>
          <w:ilvl w:val="0"/>
          <w:numId w:val="44"/>
        </w:numPr>
        <w:ind w:left="360"/>
        <w:jc w:val="both"/>
        <w:rPr>
          <w:rFonts w:ascii="Source Sans Pro" w:hAnsi="Source Sans Pro"/>
          <w:sz w:val="22"/>
        </w:rPr>
      </w:pPr>
      <w:r>
        <w:rPr>
          <w:rFonts w:ascii="Source Sans Pro" w:hAnsi="Source Sans Pro"/>
          <w:sz w:val="22"/>
        </w:rPr>
        <w:t>On this basis, JLL concluded that the assessment, as set out by the manifestly inadequate evidence base, was flawed.  It represented an obvious failure of both process and judgement and to proceed further on this basis would be patently an unsound approach.  It would mean that the plan failed the test</w:t>
      </w:r>
      <w:r w:rsidR="00A03389">
        <w:rPr>
          <w:rFonts w:ascii="Source Sans Pro" w:hAnsi="Source Sans Pro"/>
          <w:sz w:val="22"/>
        </w:rPr>
        <w:t xml:space="preserve"> of</w:t>
      </w:r>
      <w:r>
        <w:rPr>
          <w:rFonts w:ascii="Source Sans Pro" w:hAnsi="Source Sans Pro"/>
          <w:sz w:val="22"/>
        </w:rPr>
        <w:t xml:space="preserve"> being justified</w:t>
      </w:r>
      <w:r w:rsidR="006E664F">
        <w:rPr>
          <w:rFonts w:ascii="Source Sans Pro" w:hAnsi="Source Sans Pro"/>
          <w:sz w:val="22"/>
        </w:rPr>
        <w:t xml:space="preserve"> and</w:t>
      </w:r>
      <w:r w:rsidR="00226645">
        <w:rPr>
          <w:rFonts w:ascii="Source Sans Pro" w:hAnsi="Source Sans Pro"/>
          <w:sz w:val="22"/>
        </w:rPr>
        <w:t>,</w:t>
      </w:r>
      <w:r w:rsidR="006E664F">
        <w:rPr>
          <w:rFonts w:ascii="Source Sans Pro" w:hAnsi="Source Sans Pro"/>
          <w:sz w:val="22"/>
        </w:rPr>
        <w:t xml:space="preserve"> for this reason</w:t>
      </w:r>
      <w:r w:rsidR="00226645">
        <w:rPr>
          <w:rFonts w:ascii="Source Sans Pro" w:hAnsi="Source Sans Pro"/>
          <w:sz w:val="22"/>
        </w:rPr>
        <w:t>,</w:t>
      </w:r>
      <w:r w:rsidR="006E664F">
        <w:rPr>
          <w:rFonts w:ascii="Source Sans Pro" w:hAnsi="Source Sans Pro"/>
          <w:sz w:val="22"/>
        </w:rPr>
        <w:t xml:space="preserve"> is not sound</w:t>
      </w:r>
      <w:r>
        <w:rPr>
          <w:rFonts w:ascii="Source Sans Pro" w:hAnsi="Source Sans Pro"/>
          <w:sz w:val="22"/>
        </w:rPr>
        <w:t xml:space="preserve">.  By way of remedy, JLL asked for the opportunity that exists at Hilton Park to be </w:t>
      </w:r>
      <w:r w:rsidR="006E664F">
        <w:rPr>
          <w:rFonts w:ascii="Source Sans Pro" w:hAnsi="Source Sans Pro"/>
          <w:sz w:val="22"/>
        </w:rPr>
        <w:t xml:space="preserve">properly </w:t>
      </w:r>
      <w:r>
        <w:rPr>
          <w:rFonts w:ascii="Source Sans Pro" w:hAnsi="Source Sans Pro"/>
          <w:sz w:val="22"/>
        </w:rPr>
        <w:t xml:space="preserve">reassessed in light of the technical information supplied by </w:t>
      </w:r>
      <w:proofErr w:type="spellStart"/>
      <w:r>
        <w:rPr>
          <w:rFonts w:ascii="Source Sans Pro" w:hAnsi="Source Sans Pro"/>
          <w:sz w:val="22"/>
        </w:rPr>
        <w:t>Nurton</w:t>
      </w:r>
      <w:proofErr w:type="spellEnd"/>
      <w:r>
        <w:rPr>
          <w:rFonts w:ascii="Source Sans Pro" w:hAnsi="Source Sans Pro"/>
          <w:sz w:val="22"/>
        </w:rPr>
        <w:t xml:space="preserve"> Developments Limited and the assessment of the site made by the West Midlands Strategic Employment Site</w:t>
      </w:r>
      <w:r w:rsidR="00A03389">
        <w:rPr>
          <w:rFonts w:ascii="Source Sans Pro" w:hAnsi="Source Sans Pro"/>
          <w:sz w:val="22"/>
        </w:rPr>
        <w:t>s</w:t>
      </w:r>
      <w:r>
        <w:rPr>
          <w:rFonts w:ascii="Source Sans Pro" w:hAnsi="Source Sans Pro"/>
          <w:sz w:val="22"/>
        </w:rPr>
        <w:t xml:space="preserve"> Study of 2021.  </w:t>
      </w:r>
    </w:p>
    <w:p w14:paraId="077462FB" w14:textId="77777777" w:rsidR="000D0169" w:rsidRPr="000D0169" w:rsidRDefault="000D0169" w:rsidP="000D0169">
      <w:pPr>
        <w:pStyle w:val="ListParagraph"/>
        <w:rPr>
          <w:rFonts w:ascii="Source Sans Pro" w:hAnsi="Source Sans Pro"/>
          <w:sz w:val="22"/>
        </w:rPr>
      </w:pPr>
    </w:p>
    <w:p w14:paraId="106B825A" w14:textId="3FEB5C75" w:rsidR="000D0169"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Since </w:t>
      </w:r>
      <w:r w:rsidR="006444B9">
        <w:rPr>
          <w:rFonts w:ascii="Source Sans Pro" w:hAnsi="Source Sans Pro"/>
          <w:sz w:val="22"/>
        </w:rPr>
        <w:t>consultation</w:t>
      </w:r>
      <w:r>
        <w:rPr>
          <w:rFonts w:ascii="Source Sans Pro" w:hAnsi="Source Sans Pro"/>
          <w:sz w:val="22"/>
        </w:rPr>
        <w:t xml:space="preserve"> of the Preferred Options, the Council has updated its evidence base on the assessment of potential employment sites, with the production and publication of the Economic Strategy and Employment Site Assessment Topic Paper (November 2022).  Unfortunately, </w:t>
      </w:r>
      <w:r w:rsidR="006E664F">
        <w:rPr>
          <w:rFonts w:ascii="Source Sans Pro" w:hAnsi="Source Sans Pro"/>
          <w:sz w:val="22"/>
        </w:rPr>
        <w:t>once again</w:t>
      </w:r>
      <w:r w:rsidR="00226645">
        <w:rPr>
          <w:rFonts w:ascii="Source Sans Pro" w:hAnsi="Source Sans Pro"/>
          <w:sz w:val="22"/>
        </w:rPr>
        <w:t>,</w:t>
      </w:r>
      <w:r w:rsidR="006E664F">
        <w:rPr>
          <w:rFonts w:ascii="Source Sans Pro" w:hAnsi="Source Sans Pro"/>
          <w:sz w:val="22"/>
        </w:rPr>
        <w:t xml:space="preserve"> </w:t>
      </w:r>
      <w:r>
        <w:rPr>
          <w:rFonts w:ascii="Source Sans Pro" w:hAnsi="Source Sans Pro"/>
          <w:sz w:val="22"/>
        </w:rPr>
        <w:t>the assessment</w:t>
      </w:r>
      <w:r w:rsidR="00A03389">
        <w:rPr>
          <w:rFonts w:ascii="Source Sans Pro" w:hAnsi="Source Sans Pro"/>
          <w:sz w:val="22"/>
        </w:rPr>
        <w:t xml:space="preserve"> of the site</w:t>
      </w:r>
      <w:r>
        <w:rPr>
          <w:rFonts w:ascii="Source Sans Pro" w:hAnsi="Source Sans Pro"/>
          <w:sz w:val="22"/>
        </w:rPr>
        <w:t xml:space="preserve"> is unchanged, apart from minor changes to the County Highways </w:t>
      </w:r>
      <w:r w:rsidR="00A03389">
        <w:rPr>
          <w:rFonts w:ascii="Source Sans Pro" w:hAnsi="Source Sans Pro"/>
          <w:sz w:val="22"/>
        </w:rPr>
        <w:t>a</w:t>
      </w:r>
      <w:r>
        <w:rPr>
          <w:rFonts w:ascii="Source Sans Pro" w:hAnsi="Source Sans Pro"/>
          <w:sz w:val="22"/>
        </w:rPr>
        <w:t xml:space="preserve">ssessment and the conclusion, which confirms that the site is not proposed for allocation.  </w:t>
      </w:r>
    </w:p>
    <w:p w14:paraId="0DD9FDFB" w14:textId="77777777" w:rsidR="00D1574F" w:rsidRPr="00D1574F" w:rsidRDefault="00D1574F" w:rsidP="00D1574F">
      <w:pPr>
        <w:pStyle w:val="ListParagraph"/>
        <w:rPr>
          <w:rFonts w:ascii="Source Sans Pro" w:hAnsi="Source Sans Pro"/>
          <w:sz w:val="22"/>
        </w:rPr>
      </w:pPr>
    </w:p>
    <w:p w14:paraId="4346CAAC" w14:textId="4F4F4ACA" w:rsidR="00D1574F" w:rsidRDefault="00D1574F" w:rsidP="00D1574F">
      <w:pPr>
        <w:jc w:val="both"/>
        <w:rPr>
          <w:rFonts w:ascii="Source Sans Pro" w:hAnsi="Source Sans Pro"/>
          <w:sz w:val="22"/>
        </w:rPr>
      </w:pPr>
    </w:p>
    <w:p w14:paraId="2FF509D7" w14:textId="66874A81" w:rsidR="00D1574F" w:rsidRDefault="00D1574F" w:rsidP="00D1574F">
      <w:pPr>
        <w:jc w:val="both"/>
        <w:rPr>
          <w:rFonts w:ascii="Source Sans Pro" w:hAnsi="Source Sans Pro"/>
          <w:sz w:val="22"/>
        </w:rPr>
      </w:pPr>
    </w:p>
    <w:p w14:paraId="6F42290D" w14:textId="582DD108" w:rsidR="00D1574F" w:rsidRDefault="00D1574F" w:rsidP="00D1574F">
      <w:pPr>
        <w:jc w:val="both"/>
        <w:rPr>
          <w:rFonts w:ascii="Source Sans Pro" w:hAnsi="Source Sans Pro"/>
          <w:sz w:val="22"/>
        </w:rPr>
      </w:pPr>
    </w:p>
    <w:p w14:paraId="70B8FCBD" w14:textId="77777777" w:rsidR="00D1574F" w:rsidRPr="00D1574F" w:rsidRDefault="00D1574F" w:rsidP="00D1574F">
      <w:pPr>
        <w:jc w:val="both"/>
        <w:rPr>
          <w:rFonts w:ascii="Source Sans Pro" w:hAnsi="Source Sans Pro"/>
          <w:sz w:val="22"/>
        </w:rPr>
      </w:pPr>
    </w:p>
    <w:p w14:paraId="63E1F618" w14:textId="77777777" w:rsidR="00ED7BD1" w:rsidRPr="00ED7BD1" w:rsidRDefault="00ED7BD1" w:rsidP="00ED7BD1">
      <w:pPr>
        <w:pStyle w:val="ListParagraph"/>
        <w:rPr>
          <w:rFonts w:ascii="Source Sans Pro" w:hAnsi="Source Sans Pro"/>
          <w:sz w:val="22"/>
        </w:rPr>
      </w:pPr>
    </w:p>
    <w:p w14:paraId="2BB54342" w14:textId="69E5B48E"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lastRenderedPageBreak/>
        <w:t xml:space="preserve">Given the amount of information provided on the capacity and deliverability of the site for development, and particularly specific responses to site selection criteria used by the site assessment proforma, this is disappointing.  It is to be noted also </w:t>
      </w:r>
      <w:r w:rsidR="00380243">
        <w:rPr>
          <w:rFonts w:ascii="Source Sans Pro" w:hAnsi="Source Sans Pro"/>
          <w:sz w:val="22"/>
        </w:rPr>
        <w:t xml:space="preserve">that </w:t>
      </w:r>
      <w:r>
        <w:rPr>
          <w:rFonts w:ascii="Source Sans Pro" w:hAnsi="Source Sans Pro"/>
          <w:sz w:val="22"/>
        </w:rPr>
        <w:t xml:space="preserve">at no point has the Council sought from JLL any clarification on any information provided or engaged in discussion on the constraints and opportunities that the site presents.  </w:t>
      </w:r>
      <w:r w:rsidR="00A03389">
        <w:rPr>
          <w:rFonts w:ascii="Source Sans Pro" w:hAnsi="Source Sans Pro"/>
          <w:sz w:val="22"/>
        </w:rPr>
        <w:t>In addition, a</w:t>
      </w:r>
      <w:r>
        <w:rPr>
          <w:rFonts w:ascii="Source Sans Pro" w:hAnsi="Source Sans Pro"/>
          <w:sz w:val="22"/>
        </w:rPr>
        <w:t xml:space="preserve">t no stage has the Council given any evidence that it has had regard to the information provided by JLL and </w:t>
      </w:r>
      <w:proofErr w:type="spellStart"/>
      <w:r>
        <w:rPr>
          <w:rFonts w:ascii="Source Sans Pro" w:hAnsi="Source Sans Pro"/>
          <w:sz w:val="22"/>
        </w:rPr>
        <w:t>Nurton</w:t>
      </w:r>
      <w:proofErr w:type="spellEnd"/>
      <w:r>
        <w:rPr>
          <w:rFonts w:ascii="Source Sans Pro" w:hAnsi="Source Sans Pro"/>
          <w:sz w:val="22"/>
        </w:rPr>
        <w:t xml:space="preserve"> Developments </w:t>
      </w:r>
      <w:r w:rsidR="00380243">
        <w:rPr>
          <w:rFonts w:ascii="Source Sans Pro" w:hAnsi="Source Sans Pro"/>
          <w:sz w:val="22"/>
        </w:rPr>
        <w:t>Limited or</w:t>
      </w:r>
      <w:r>
        <w:rPr>
          <w:rFonts w:ascii="Source Sans Pro" w:hAnsi="Source Sans Pro"/>
          <w:sz w:val="22"/>
        </w:rPr>
        <w:t xml:space="preserve"> reassessed the site’s potential </w:t>
      </w:r>
      <w:proofErr w:type="gramStart"/>
      <w:r>
        <w:rPr>
          <w:rFonts w:ascii="Source Sans Pro" w:hAnsi="Source Sans Pro"/>
          <w:sz w:val="22"/>
        </w:rPr>
        <w:t>in light of</w:t>
      </w:r>
      <w:proofErr w:type="gramEnd"/>
      <w:r>
        <w:rPr>
          <w:rFonts w:ascii="Source Sans Pro" w:hAnsi="Source Sans Pro"/>
          <w:sz w:val="22"/>
        </w:rPr>
        <w:t xml:space="preserve"> the information provided and representations made.</w:t>
      </w:r>
    </w:p>
    <w:p w14:paraId="55A7D27F" w14:textId="77777777" w:rsidR="00ED7BD1" w:rsidRPr="00ED7BD1" w:rsidRDefault="00ED7BD1" w:rsidP="00ED7BD1">
      <w:pPr>
        <w:pStyle w:val="ListParagraph"/>
        <w:rPr>
          <w:rFonts w:ascii="Source Sans Pro" w:hAnsi="Source Sans Pro"/>
          <w:sz w:val="22"/>
        </w:rPr>
      </w:pPr>
    </w:p>
    <w:p w14:paraId="1ADAC442" w14:textId="32F4329E"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This is illustrated by two particular examples</w:t>
      </w:r>
      <w:r w:rsidR="00A03389">
        <w:rPr>
          <w:rFonts w:ascii="Source Sans Pro" w:hAnsi="Source Sans Pro"/>
          <w:sz w:val="22"/>
        </w:rPr>
        <w:t xml:space="preserve">. </w:t>
      </w:r>
      <w:proofErr w:type="gramStart"/>
      <w:r w:rsidR="00A03389">
        <w:rPr>
          <w:rFonts w:ascii="Source Sans Pro" w:hAnsi="Source Sans Pro"/>
          <w:sz w:val="22"/>
        </w:rPr>
        <w:t>T</w:t>
      </w:r>
      <w:r>
        <w:rPr>
          <w:rFonts w:ascii="Source Sans Pro" w:hAnsi="Source Sans Pro"/>
          <w:sz w:val="22"/>
        </w:rPr>
        <w:t>hese concern</w:t>
      </w:r>
      <w:proofErr w:type="gramEnd"/>
      <w:r>
        <w:rPr>
          <w:rFonts w:ascii="Source Sans Pro" w:hAnsi="Source Sans Pro"/>
          <w:sz w:val="22"/>
        </w:rPr>
        <w:t>:</w:t>
      </w:r>
      <w:r w:rsidR="005A1359">
        <w:rPr>
          <w:rFonts w:ascii="Source Sans Pro" w:hAnsi="Source Sans Pro"/>
          <w:sz w:val="22"/>
        </w:rPr>
        <w:t xml:space="preserve"> </w:t>
      </w:r>
      <w:r>
        <w:rPr>
          <w:rFonts w:ascii="Source Sans Pro" w:hAnsi="Source Sans Pro"/>
          <w:sz w:val="22"/>
        </w:rPr>
        <w:t>-</w:t>
      </w:r>
    </w:p>
    <w:p w14:paraId="2EBB3CCC" w14:textId="50D06468" w:rsidR="00ED7BD1" w:rsidRDefault="00ED7BD1" w:rsidP="00ED7BD1">
      <w:pPr>
        <w:pStyle w:val="ListParagraph"/>
        <w:rPr>
          <w:rFonts w:ascii="Source Sans Pro" w:hAnsi="Source Sans Pro"/>
          <w:sz w:val="22"/>
        </w:rPr>
      </w:pPr>
    </w:p>
    <w:p w14:paraId="65A8BB14" w14:textId="57AD9F24" w:rsidR="00ED7BD1" w:rsidRDefault="00ED7BD1" w:rsidP="00ED7BD1">
      <w:pPr>
        <w:pStyle w:val="ListParagraph"/>
        <w:numPr>
          <w:ilvl w:val="0"/>
          <w:numId w:val="47"/>
        </w:numPr>
        <w:rPr>
          <w:rFonts w:ascii="Source Sans Pro" w:hAnsi="Source Sans Pro"/>
          <w:sz w:val="22"/>
        </w:rPr>
      </w:pPr>
      <w:r>
        <w:rPr>
          <w:rFonts w:ascii="Source Sans Pro" w:hAnsi="Source Sans Pro"/>
          <w:sz w:val="22"/>
        </w:rPr>
        <w:t>The extent of the site.</w:t>
      </w:r>
    </w:p>
    <w:p w14:paraId="3ABEFB19" w14:textId="3D5B1C19" w:rsidR="00ED7BD1" w:rsidRDefault="00ED7BD1" w:rsidP="00ED7BD1">
      <w:pPr>
        <w:pStyle w:val="ListParagraph"/>
        <w:numPr>
          <w:ilvl w:val="0"/>
          <w:numId w:val="47"/>
        </w:numPr>
        <w:rPr>
          <w:rFonts w:ascii="Source Sans Pro" w:hAnsi="Source Sans Pro"/>
          <w:sz w:val="22"/>
        </w:rPr>
      </w:pPr>
      <w:r>
        <w:rPr>
          <w:rFonts w:ascii="Source Sans Pro" w:hAnsi="Source Sans Pro"/>
          <w:sz w:val="22"/>
        </w:rPr>
        <w:t>Green Belt harm.</w:t>
      </w:r>
    </w:p>
    <w:p w14:paraId="6B51D148" w14:textId="77777777" w:rsidR="00ED7BD1" w:rsidRPr="00ED7BD1" w:rsidRDefault="00ED7BD1" w:rsidP="00ED7BD1">
      <w:pPr>
        <w:pStyle w:val="ListParagraph"/>
        <w:ind w:left="1440"/>
        <w:rPr>
          <w:rFonts w:ascii="Source Sans Pro" w:hAnsi="Source Sans Pro"/>
          <w:sz w:val="22"/>
        </w:rPr>
      </w:pPr>
    </w:p>
    <w:p w14:paraId="1B769192" w14:textId="74116A25"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The boundaries of the site in Appendix B (</w:t>
      </w:r>
      <w:r w:rsidR="00A03389">
        <w:rPr>
          <w:rFonts w:ascii="Source Sans Pro" w:hAnsi="Source Sans Pro"/>
          <w:sz w:val="22"/>
        </w:rPr>
        <w:t>M</w:t>
      </w:r>
      <w:r>
        <w:rPr>
          <w:rFonts w:ascii="Source Sans Pro" w:hAnsi="Source Sans Pro"/>
          <w:sz w:val="22"/>
        </w:rPr>
        <w:t>aps of employment site options) to the Topic Paper has been incorrectly drawn.  An extract of this map is provided</w:t>
      </w:r>
      <w:r w:rsidR="00A03389">
        <w:rPr>
          <w:rFonts w:ascii="Source Sans Pro" w:hAnsi="Source Sans Pro"/>
          <w:sz w:val="22"/>
        </w:rPr>
        <w:t xml:space="preserve"> overleaf</w:t>
      </w:r>
      <w:r>
        <w:rPr>
          <w:rFonts w:ascii="Source Sans Pro" w:hAnsi="Source Sans Pro"/>
          <w:sz w:val="22"/>
        </w:rPr>
        <w:t>:</w:t>
      </w:r>
      <w:r w:rsidR="00C01461">
        <w:rPr>
          <w:rFonts w:ascii="Source Sans Pro" w:hAnsi="Source Sans Pro"/>
          <w:sz w:val="22"/>
        </w:rPr>
        <w:t xml:space="preserve"> </w:t>
      </w:r>
      <w:r>
        <w:rPr>
          <w:rFonts w:ascii="Source Sans Pro" w:hAnsi="Source Sans Pro"/>
          <w:sz w:val="22"/>
        </w:rPr>
        <w:t>-</w:t>
      </w:r>
    </w:p>
    <w:p w14:paraId="653C7F37" w14:textId="0D60BE2C" w:rsidR="00ED7BD1" w:rsidRDefault="00ED7BD1" w:rsidP="00ED7BD1">
      <w:pPr>
        <w:pStyle w:val="ListParagraph"/>
        <w:ind w:left="360"/>
        <w:jc w:val="both"/>
        <w:rPr>
          <w:rFonts w:ascii="Source Sans Pro" w:hAnsi="Source Sans Pro"/>
          <w:sz w:val="22"/>
        </w:rPr>
      </w:pPr>
    </w:p>
    <w:p w14:paraId="536C4F36" w14:textId="17464363" w:rsidR="00ED7BD1" w:rsidRDefault="00ED7BD1" w:rsidP="00ED7BD1">
      <w:pPr>
        <w:pStyle w:val="ListParagraph"/>
        <w:ind w:left="360"/>
        <w:jc w:val="both"/>
        <w:rPr>
          <w:rFonts w:ascii="Source Sans Pro" w:hAnsi="Source Sans Pro"/>
          <w:sz w:val="22"/>
        </w:rPr>
      </w:pPr>
    </w:p>
    <w:p w14:paraId="7D93EDC6" w14:textId="69EE3562" w:rsidR="00ED7BD1" w:rsidRDefault="005A1359" w:rsidP="00D1574F">
      <w:pPr>
        <w:pStyle w:val="ListParagraph"/>
        <w:ind w:left="360" w:firstLine="66"/>
        <w:jc w:val="both"/>
        <w:rPr>
          <w:rFonts w:ascii="Source Sans Pro" w:hAnsi="Source Sans Pro"/>
          <w:sz w:val="22"/>
        </w:rPr>
      </w:pPr>
      <w:r>
        <w:rPr>
          <w:noProof/>
        </w:rPr>
        <w:drawing>
          <wp:inline distT="0" distB="0" distL="0" distR="0" wp14:anchorId="7282DEAB" wp14:editId="3D0BEE4F">
            <wp:extent cx="4857615" cy="38481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6768" cy="3871194"/>
                    </a:xfrm>
                    <a:prstGeom prst="rect">
                      <a:avLst/>
                    </a:prstGeom>
                  </pic:spPr>
                </pic:pic>
              </a:graphicData>
            </a:graphic>
          </wp:inline>
        </w:drawing>
      </w:r>
    </w:p>
    <w:p w14:paraId="71E7D322" w14:textId="16206A36" w:rsidR="00ED7BD1" w:rsidRDefault="00ED7BD1" w:rsidP="00ED7BD1">
      <w:pPr>
        <w:pStyle w:val="ListParagraph"/>
        <w:ind w:left="360"/>
        <w:jc w:val="both"/>
        <w:rPr>
          <w:rFonts w:ascii="Source Sans Pro" w:hAnsi="Source Sans Pro"/>
          <w:sz w:val="22"/>
        </w:rPr>
      </w:pPr>
    </w:p>
    <w:p w14:paraId="0B228F12" w14:textId="47D75904" w:rsidR="00D1574F" w:rsidRDefault="00D1574F" w:rsidP="00ED7BD1">
      <w:pPr>
        <w:pStyle w:val="ListParagraph"/>
        <w:ind w:left="360"/>
        <w:jc w:val="both"/>
        <w:rPr>
          <w:rFonts w:ascii="Source Sans Pro" w:hAnsi="Source Sans Pro"/>
          <w:sz w:val="22"/>
        </w:rPr>
      </w:pPr>
    </w:p>
    <w:p w14:paraId="093918AF" w14:textId="77777777" w:rsidR="00D1574F" w:rsidRDefault="00D1574F" w:rsidP="00ED7BD1">
      <w:pPr>
        <w:pStyle w:val="ListParagraph"/>
        <w:ind w:left="360"/>
        <w:jc w:val="both"/>
        <w:rPr>
          <w:rFonts w:ascii="Source Sans Pro" w:hAnsi="Source Sans Pro"/>
          <w:sz w:val="22"/>
        </w:rPr>
      </w:pPr>
    </w:p>
    <w:p w14:paraId="5E08AAB1" w14:textId="6E8EE07C"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JLL advise</w:t>
      </w:r>
      <w:r w:rsidR="00A03389">
        <w:rPr>
          <w:rFonts w:ascii="Source Sans Pro" w:hAnsi="Source Sans Pro"/>
          <w:sz w:val="22"/>
        </w:rPr>
        <w:t>d</w:t>
      </w:r>
      <w:r>
        <w:rPr>
          <w:rFonts w:ascii="Source Sans Pro" w:hAnsi="Source Sans Pro"/>
          <w:sz w:val="22"/>
        </w:rPr>
        <w:t xml:space="preserve"> through the submission of </w:t>
      </w:r>
      <w:r w:rsidR="00A03389">
        <w:rPr>
          <w:rFonts w:ascii="Source Sans Pro" w:hAnsi="Source Sans Pro"/>
          <w:sz w:val="22"/>
        </w:rPr>
        <w:t>the</w:t>
      </w:r>
      <w:r>
        <w:rPr>
          <w:rFonts w:ascii="Source Sans Pro" w:hAnsi="Source Sans Pro"/>
          <w:sz w:val="22"/>
        </w:rPr>
        <w:t xml:space="preserve"> </w:t>
      </w:r>
      <w:r w:rsidR="00A03389">
        <w:rPr>
          <w:rFonts w:ascii="Source Sans Pro" w:hAnsi="Source Sans Pro"/>
          <w:sz w:val="22"/>
        </w:rPr>
        <w:t>T</w:t>
      </w:r>
      <w:r>
        <w:rPr>
          <w:rFonts w:ascii="Source Sans Pro" w:hAnsi="Source Sans Pro"/>
          <w:sz w:val="22"/>
        </w:rPr>
        <w:t xml:space="preserve">echnical </w:t>
      </w:r>
      <w:r w:rsidR="00A03389">
        <w:rPr>
          <w:rFonts w:ascii="Source Sans Pro" w:hAnsi="Source Sans Pro"/>
          <w:sz w:val="22"/>
        </w:rPr>
        <w:t>N</w:t>
      </w:r>
      <w:r>
        <w:rPr>
          <w:rFonts w:ascii="Source Sans Pro" w:hAnsi="Source Sans Pro"/>
          <w:sz w:val="22"/>
        </w:rPr>
        <w:t xml:space="preserve">ote on </w:t>
      </w:r>
      <w:r w:rsidR="00A03389">
        <w:rPr>
          <w:rFonts w:ascii="Source Sans Pro" w:hAnsi="Source Sans Pro"/>
          <w:sz w:val="22"/>
        </w:rPr>
        <w:t>D</w:t>
      </w:r>
      <w:r>
        <w:rPr>
          <w:rFonts w:ascii="Source Sans Pro" w:hAnsi="Source Sans Pro"/>
          <w:sz w:val="22"/>
        </w:rPr>
        <w:t xml:space="preserve">eliverability in August 2020 that the site’s boundaries extended to cover the full frontage of the A460.  The situation plan from the Technical Note on delivery is extracted and provided </w:t>
      </w:r>
      <w:r w:rsidR="00D1574F">
        <w:rPr>
          <w:rFonts w:ascii="Source Sans Pro" w:hAnsi="Source Sans Pro"/>
          <w:sz w:val="22"/>
        </w:rPr>
        <w:t>overleaf</w:t>
      </w:r>
      <w:r>
        <w:rPr>
          <w:rFonts w:ascii="Source Sans Pro" w:hAnsi="Source Sans Pro"/>
          <w:sz w:val="22"/>
        </w:rPr>
        <w:t>:</w:t>
      </w:r>
      <w:r w:rsidR="003D1EF6">
        <w:rPr>
          <w:rFonts w:ascii="Source Sans Pro" w:hAnsi="Source Sans Pro"/>
          <w:sz w:val="22"/>
        </w:rPr>
        <w:t xml:space="preserve"> </w:t>
      </w:r>
      <w:r>
        <w:rPr>
          <w:rFonts w:ascii="Source Sans Pro" w:hAnsi="Source Sans Pro"/>
          <w:sz w:val="22"/>
        </w:rPr>
        <w:t>-</w:t>
      </w:r>
    </w:p>
    <w:p w14:paraId="50C89F5A" w14:textId="3B963170" w:rsidR="00ED7BD1" w:rsidRDefault="00ED7BD1" w:rsidP="00ED7BD1">
      <w:pPr>
        <w:pStyle w:val="ListParagraph"/>
        <w:ind w:left="360"/>
        <w:jc w:val="both"/>
        <w:rPr>
          <w:rFonts w:ascii="Source Sans Pro" w:hAnsi="Source Sans Pro"/>
          <w:sz w:val="22"/>
        </w:rPr>
      </w:pPr>
    </w:p>
    <w:p w14:paraId="0BF36531" w14:textId="3EC718FD" w:rsidR="00ED7BD1" w:rsidRDefault="005A1359" w:rsidP="005A1359">
      <w:pPr>
        <w:pStyle w:val="ListParagraph"/>
        <w:ind w:left="360" w:firstLine="916"/>
        <w:jc w:val="both"/>
        <w:rPr>
          <w:rFonts w:ascii="Source Sans Pro" w:hAnsi="Source Sans Pro"/>
          <w:sz w:val="22"/>
        </w:rPr>
      </w:pPr>
      <w:r>
        <w:rPr>
          <w:noProof/>
        </w:rPr>
        <w:lastRenderedPageBreak/>
        <w:drawing>
          <wp:inline distT="0" distB="0" distL="0" distR="0" wp14:anchorId="771666B1" wp14:editId="51612049">
            <wp:extent cx="4086365" cy="4483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7447" cy="4506228"/>
                    </a:xfrm>
                    <a:prstGeom prst="rect">
                      <a:avLst/>
                    </a:prstGeom>
                  </pic:spPr>
                </pic:pic>
              </a:graphicData>
            </a:graphic>
          </wp:inline>
        </w:drawing>
      </w:r>
    </w:p>
    <w:p w14:paraId="5811B3F5" w14:textId="3A31A541" w:rsidR="00ED7BD1" w:rsidRDefault="00ED7BD1" w:rsidP="00ED7BD1">
      <w:pPr>
        <w:pStyle w:val="ListParagraph"/>
        <w:ind w:left="360"/>
        <w:jc w:val="both"/>
        <w:rPr>
          <w:rFonts w:ascii="Source Sans Pro" w:hAnsi="Source Sans Pro"/>
          <w:sz w:val="22"/>
        </w:rPr>
      </w:pPr>
    </w:p>
    <w:p w14:paraId="0F5B08A7" w14:textId="3267A8BD" w:rsidR="00D1574F" w:rsidRDefault="00D1574F" w:rsidP="00ED7BD1">
      <w:pPr>
        <w:pStyle w:val="ListParagraph"/>
        <w:ind w:left="360"/>
        <w:jc w:val="both"/>
        <w:rPr>
          <w:rFonts w:ascii="Source Sans Pro" w:hAnsi="Source Sans Pro"/>
          <w:sz w:val="22"/>
        </w:rPr>
      </w:pPr>
    </w:p>
    <w:p w14:paraId="4DC12BBB" w14:textId="77777777" w:rsidR="00D1574F" w:rsidRDefault="00D1574F" w:rsidP="00ED7BD1">
      <w:pPr>
        <w:pStyle w:val="ListParagraph"/>
        <w:ind w:left="360"/>
        <w:jc w:val="both"/>
        <w:rPr>
          <w:rFonts w:ascii="Source Sans Pro" w:hAnsi="Source Sans Pro"/>
          <w:sz w:val="22"/>
        </w:rPr>
      </w:pPr>
    </w:p>
    <w:p w14:paraId="7D1D2095" w14:textId="2156A328"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The inclusion of all the land fronting the A460 presents a better overall development opportunity and should be factored in any reassessment of the site.  </w:t>
      </w:r>
    </w:p>
    <w:p w14:paraId="13BDF6B9" w14:textId="77777777" w:rsidR="00ED7BD1" w:rsidRDefault="00ED7BD1" w:rsidP="00ED7BD1">
      <w:pPr>
        <w:pStyle w:val="ListParagraph"/>
        <w:ind w:left="360"/>
        <w:jc w:val="both"/>
        <w:rPr>
          <w:rFonts w:ascii="Source Sans Pro" w:hAnsi="Source Sans Pro"/>
          <w:sz w:val="22"/>
        </w:rPr>
      </w:pPr>
    </w:p>
    <w:p w14:paraId="4CEA9CDC" w14:textId="5B0D2AFE"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The conclusion</w:t>
      </w:r>
      <w:r w:rsidR="00A03389">
        <w:rPr>
          <w:rFonts w:ascii="Source Sans Pro" w:hAnsi="Source Sans Pro"/>
          <w:sz w:val="22"/>
        </w:rPr>
        <w:t>s</w:t>
      </w:r>
      <w:r>
        <w:rPr>
          <w:rFonts w:ascii="Source Sans Pro" w:hAnsi="Source Sans Pro"/>
          <w:sz w:val="22"/>
        </w:rPr>
        <w:t xml:space="preserve"> to the site assessment for Site E43 in the 2022 Topic Paper note</w:t>
      </w:r>
      <w:r w:rsidR="00A03389">
        <w:rPr>
          <w:rFonts w:ascii="Source Sans Pro" w:hAnsi="Source Sans Pro"/>
          <w:sz w:val="22"/>
        </w:rPr>
        <w:t>s</w:t>
      </w:r>
      <w:r>
        <w:rPr>
          <w:rFonts w:ascii="Source Sans Pro" w:hAnsi="Source Sans Pro"/>
          <w:sz w:val="22"/>
        </w:rPr>
        <w:t xml:space="preserve"> that:</w:t>
      </w:r>
    </w:p>
    <w:p w14:paraId="5F90737E" w14:textId="77777777" w:rsidR="00ED7BD1" w:rsidRPr="00ED7BD1" w:rsidRDefault="00ED7BD1" w:rsidP="00ED7BD1">
      <w:pPr>
        <w:pStyle w:val="ListParagraph"/>
        <w:rPr>
          <w:rFonts w:ascii="Source Sans Pro" w:hAnsi="Source Sans Pro"/>
          <w:sz w:val="22"/>
        </w:rPr>
      </w:pPr>
    </w:p>
    <w:p w14:paraId="3E1A69C2" w14:textId="3B9BA8B3" w:rsidR="00ED7BD1" w:rsidRDefault="00ED7BD1" w:rsidP="00ED7BD1">
      <w:pPr>
        <w:pStyle w:val="ListParagraph"/>
        <w:jc w:val="both"/>
        <w:rPr>
          <w:rFonts w:ascii="Source Sans Pro" w:hAnsi="Source Sans Pro"/>
          <w:i/>
          <w:iCs/>
          <w:sz w:val="22"/>
        </w:rPr>
      </w:pPr>
      <w:r>
        <w:rPr>
          <w:rFonts w:ascii="Source Sans Pro" w:hAnsi="Source Sans Pro"/>
          <w:sz w:val="22"/>
        </w:rPr>
        <w:t xml:space="preserve"> “</w:t>
      </w:r>
      <w:r>
        <w:rPr>
          <w:rFonts w:ascii="Source Sans Pro" w:hAnsi="Source Sans Pro"/>
          <w:i/>
          <w:iCs/>
          <w:sz w:val="22"/>
        </w:rPr>
        <w:t xml:space="preserve">The site performs relatively well and has a clear advantage for distribution/logistics of being close to the M6 (Junction 11).  However, major negative effects are also predicted in the </w:t>
      </w:r>
      <w:r w:rsidR="006444B9">
        <w:rPr>
          <w:rFonts w:ascii="Source Sans Pro" w:hAnsi="Source Sans Pro"/>
          <w:i/>
          <w:iCs/>
          <w:sz w:val="22"/>
        </w:rPr>
        <w:t>sustainability</w:t>
      </w:r>
      <w:r>
        <w:rPr>
          <w:rFonts w:ascii="Source Sans Pro" w:hAnsi="Source Sans Pro"/>
          <w:i/>
          <w:iCs/>
          <w:sz w:val="22"/>
        </w:rPr>
        <w:t xml:space="preserve"> appraisal, due to the site being in one of the more harmful Green Belt areas within the district”.</w:t>
      </w:r>
    </w:p>
    <w:p w14:paraId="5A298968" w14:textId="77777777" w:rsidR="00ED7BD1" w:rsidRPr="00ED7BD1" w:rsidRDefault="00ED7BD1" w:rsidP="00ED7BD1">
      <w:pPr>
        <w:pStyle w:val="ListParagraph"/>
        <w:jc w:val="both"/>
        <w:rPr>
          <w:rFonts w:ascii="Source Sans Pro" w:hAnsi="Source Sans Pro"/>
          <w:i/>
          <w:iCs/>
          <w:sz w:val="22"/>
        </w:rPr>
      </w:pPr>
    </w:p>
    <w:p w14:paraId="38B620F0" w14:textId="1B83923A"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The assessment to the site selection criteria of Green Belt harm is “high”.  </w:t>
      </w:r>
    </w:p>
    <w:p w14:paraId="218D766A" w14:textId="77777777" w:rsidR="00ED7BD1" w:rsidRDefault="00ED7BD1" w:rsidP="00ED7BD1">
      <w:pPr>
        <w:pStyle w:val="ListParagraph"/>
        <w:ind w:left="360"/>
        <w:jc w:val="both"/>
        <w:rPr>
          <w:rFonts w:ascii="Source Sans Pro" w:hAnsi="Source Sans Pro"/>
          <w:sz w:val="22"/>
        </w:rPr>
      </w:pPr>
    </w:p>
    <w:p w14:paraId="2B5E05EE" w14:textId="77777777" w:rsidR="001B314E"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This rating inexplicitly ignores the effect of the M54</w:t>
      </w:r>
      <w:r w:rsidR="00A03389">
        <w:rPr>
          <w:rFonts w:ascii="Source Sans Pro" w:hAnsi="Source Sans Pro"/>
          <w:sz w:val="22"/>
        </w:rPr>
        <w:t>/</w:t>
      </w:r>
      <w:r>
        <w:rPr>
          <w:rFonts w:ascii="Source Sans Pro" w:hAnsi="Source Sans Pro"/>
          <w:sz w:val="22"/>
        </w:rPr>
        <w:t xml:space="preserve">M6 link road on the site.  The South Staffordshire Green Belt Study (conducted in 2019) did not take this into account.  As part of the consultation response to the South Staffordshire Spatial Housing Strategy and Infrastructure Delivery (in December 2019), JLL submitted an assessment by independent consultants, Tyler Grange, on the contribution the site would make to the Green Belt.  This response is included as </w:t>
      </w:r>
      <w:r>
        <w:rPr>
          <w:rFonts w:ascii="Source Sans Pro" w:hAnsi="Source Sans Pro"/>
          <w:b/>
          <w:bCs/>
          <w:sz w:val="22"/>
        </w:rPr>
        <w:t>Enclosure No. 3</w:t>
      </w:r>
      <w:r>
        <w:rPr>
          <w:rFonts w:ascii="Source Sans Pro" w:hAnsi="Source Sans Pro"/>
          <w:sz w:val="22"/>
        </w:rPr>
        <w:t xml:space="preserve">.  This assessment downgraded the land between the A460 and the link road as “moderate-high” and between the link road and the M6 motorway as “moderate”. </w:t>
      </w:r>
    </w:p>
    <w:p w14:paraId="5116389A" w14:textId="77777777" w:rsidR="001B314E" w:rsidRPr="001B314E" w:rsidRDefault="001B314E" w:rsidP="001B314E">
      <w:pPr>
        <w:pStyle w:val="ListParagraph"/>
        <w:rPr>
          <w:rFonts w:ascii="Source Sans Pro" w:hAnsi="Source Sans Pro"/>
          <w:sz w:val="22"/>
        </w:rPr>
      </w:pPr>
    </w:p>
    <w:p w14:paraId="27FC7790" w14:textId="4F74DD1D" w:rsidR="00ED7BD1" w:rsidRDefault="001B314E" w:rsidP="005A6880">
      <w:pPr>
        <w:pStyle w:val="ListParagraph"/>
        <w:numPr>
          <w:ilvl w:val="0"/>
          <w:numId w:val="44"/>
        </w:numPr>
        <w:ind w:left="360"/>
        <w:jc w:val="both"/>
        <w:rPr>
          <w:rFonts w:ascii="Source Sans Pro" w:hAnsi="Source Sans Pro"/>
          <w:sz w:val="22"/>
        </w:rPr>
      </w:pPr>
      <w:r>
        <w:rPr>
          <w:rFonts w:ascii="Source Sans Pro" w:hAnsi="Source Sans Pro"/>
          <w:sz w:val="22"/>
        </w:rPr>
        <w:t>The impact of the link road on the contribution the site makes to the Green Belt can be gauged by the plan below, which shows the routing of the proposed link road through the site.</w:t>
      </w:r>
      <w:r w:rsidR="003D1EF6">
        <w:rPr>
          <w:rFonts w:ascii="Source Sans Pro" w:hAnsi="Source Sans Pro"/>
          <w:sz w:val="22"/>
        </w:rPr>
        <w:t xml:space="preserve"> It will clearly compromise the openness of this part of the Green Belt.</w:t>
      </w:r>
    </w:p>
    <w:p w14:paraId="3DCA8EFF" w14:textId="77777777" w:rsidR="001B314E" w:rsidRPr="001B314E" w:rsidRDefault="001B314E" w:rsidP="001B314E">
      <w:pPr>
        <w:pStyle w:val="ListParagraph"/>
        <w:rPr>
          <w:rFonts w:ascii="Source Sans Pro" w:hAnsi="Source Sans Pro"/>
          <w:sz w:val="22"/>
        </w:rPr>
      </w:pPr>
    </w:p>
    <w:p w14:paraId="55A5340C" w14:textId="4C3E31A6" w:rsidR="001B314E" w:rsidRDefault="001B314E" w:rsidP="001B314E">
      <w:pPr>
        <w:pStyle w:val="ListParagraph"/>
        <w:ind w:left="360"/>
        <w:jc w:val="both"/>
        <w:rPr>
          <w:rFonts w:ascii="Source Sans Pro" w:hAnsi="Source Sans Pro"/>
          <w:sz w:val="22"/>
        </w:rPr>
      </w:pPr>
      <w:r>
        <w:rPr>
          <w:noProof/>
        </w:rPr>
        <w:drawing>
          <wp:inline distT="0" distB="0" distL="0" distR="0" wp14:anchorId="09037BC2" wp14:editId="08E31341">
            <wp:extent cx="5732145" cy="40468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4046855"/>
                    </a:xfrm>
                    <a:prstGeom prst="rect">
                      <a:avLst/>
                    </a:prstGeom>
                  </pic:spPr>
                </pic:pic>
              </a:graphicData>
            </a:graphic>
          </wp:inline>
        </w:drawing>
      </w:r>
    </w:p>
    <w:p w14:paraId="749E7BAA" w14:textId="7EFB298E" w:rsidR="001B314E" w:rsidRDefault="001B314E" w:rsidP="001B314E">
      <w:pPr>
        <w:pStyle w:val="ListParagraph"/>
        <w:ind w:left="360"/>
        <w:jc w:val="both"/>
        <w:rPr>
          <w:rFonts w:ascii="Source Sans Pro" w:hAnsi="Source Sans Pro"/>
          <w:sz w:val="22"/>
        </w:rPr>
      </w:pPr>
    </w:p>
    <w:p w14:paraId="761D64F5" w14:textId="2A2AB92D"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An addendum to the Green Belt Study has been produced this year.  However, despite JLL’s representations to the Preferred Options pointing to this obvious omission, it </w:t>
      </w:r>
      <w:r w:rsidR="006E664F">
        <w:rPr>
          <w:rFonts w:ascii="Source Sans Pro" w:hAnsi="Source Sans Pro"/>
          <w:sz w:val="22"/>
        </w:rPr>
        <w:t xml:space="preserve">still </w:t>
      </w:r>
      <w:r>
        <w:rPr>
          <w:rFonts w:ascii="Source Sans Pro" w:hAnsi="Source Sans Pro"/>
          <w:sz w:val="22"/>
        </w:rPr>
        <w:t>does not address this point.  Instead, it concentrates on assessing a new housing site.</w:t>
      </w:r>
      <w:r w:rsidR="006E664F">
        <w:rPr>
          <w:rFonts w:ascii="Source Sans Pro" w:hAnsi="Source Sans Pro"/>
          <w:sz w:val="22"/>
        </w:rPr>
        <w:t xml:space="preserve"> </w:t>
      </w:r>
    </w:p>
    <w:p w14:paraId="049AF65E" w14:textId="77777777" w:rsidR="006E664F" w:rsidRPr="00226645" w:rsidRDefault="006E664F" w:rsidP="00226645">
      <w:pPr>
        <w:pStyle w:val="ListParagraph"/>
        <w:rPr>
          <w:rFonts w:ascii="Source Sans Pro" w:hAnsi="Source Sans Pro"/>
          <w:sz w:val="22"/>
        </w:rPr>
      </w:pPr>
    </w:p>
    <w:p w14:paraId="440EBDFA" w14:textId="4ABC459D" w:rsidR="006E664F" w:rsidRDefault="006E664F" w:rsidP="005A6880">
      <w:pPr>
        <w:pStyle w:val="ListParagraph"/>
        <w:numPr>
          <w:ilvl w:val="0"/>
          <w:numId w:val="44"/>
        </w:numPr>
        <w:ind w:left="360"/>
        <w:jc w:val="both"/>
        <w:rPr>
          <w:rFonts w:ascii="Source Sans Pro" w:hAnsi="Source Sans Pro"/>
          <w:sz w:val="22"/>
        </w:rPr>
      </w:pPr>
      <w:r>
        <w:rPr>
          <w:rFonts w:ascii="Source Sans Pro" w:hAnsi="Source Sans Pro"/>
          <w:sz w:val="22"/>
        </w:rPr>
        <w:t>Had the site been properly assessed then its merits would be clear.</w:t>
      </w:r>
    </w:p>
    <w:p w14:paraId="23E0E7AC" w14:textId="18E3B41A" w:rsidR="00ED7BD1" w:rsidRDefault="00ED7BD1" w:rsidP="00ED7BD1">
      <w:pPr>
        <w:rPr>
          <w:rFonts w:ascii="Source Sans Pro" w:hAnsi="Source Sans Pro"/>
          <w:sz w:val="22"/>
        </w:rPr>
      </w:pPr>
    </w:p>
    <w:p w14:paraId="7280FE91" w14:textId="049F8A29" w:rsidR="00ED7BD1" w:rsidRDefault="005A1359" w:rsidP="00ED7BD1">
      <w:pPr>
        <w:rPr>
          <w:rFonts w:ascii="Source Sans Pro" w:hAnsi="Source Sans Pro"/>
          <w:b/>
          <w:bCs/>
          <w:sz w:val="22"/>
        </w:rPr>
      </w:pPr>
      <w:r>
        <w:rPr>
          <w:rFonts w:ascii="Source Sans Pro" w:hAnsi="Source Sans Pro"/>
          <w:b/>
          <w:bCs/>
          <w:sz w:val="22"/>
        </w:rPr>
        <w:t xml:space="preserve">Box 6 – Suggested </w:t>
      </w:r>
      <w:r w:rsidR="00ED7BD1">
        <w:rPr>
          <w:rFonts w:ascii="Source Sans Pro" w:hAnsi="Source Sans Pro"/>
          <w:b/>
          <w:bCs/>
          <w:sz w:val="22"/>
        </w:rPr>
        <w:t>Modifications</w:t>
      </w:r>
    </w:p>
    <w:p w14:paraId="3158072F" w14:textId="77777777" w:rsidR="00ED7BD1" w:rsidRPr="00ED7BD1" w:rsidRDefault="00ED7BD1" w:rsidP="00ED7BD1">
      <w:pPr>
        <w:rPr>
          <w:rFonts w:ascii="Source Sans Pro" w:hAnsi="Source Sans Pro"/>
          <w:b/>
          <w:bCs/>
          <w:sz w:val="22"/>
        </w:rPr>
      </w:pPr>
    </w:p>
    <w:p w14:paraId="3BE6E4B6" w14:textId="00A9CEC0"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t>The plan needs to identify and allocate new sites to meet the shortfall of available development land to meet local needs.  This shortfall has been identified by JLL to be at least 90 hectares.</w:t>
      </w:r>
    </w:p>
    <w:p w14:paraId="0D6D444A" w14:textId="77777777" w:rsidR="00ED7BD1" w:rsidRDefault="00ED7BD1" w:rsidP="00ED7BD1">
      <w:pPr>
        <w:pStyle w:val="ListParagraph"/>
        <w:ind w:left="360"/>
        <w:jc w:val="both"/>
        <w:rPr>
          <w:rFonts w:ascii="Source Sans Pro" w:hAnsi="Source Sans Pro"/>
          <w:sz w:val="22"/>
        </w:rPr>
      </w:pPr>
    </w:p>
    <w:p w14:paraId="6CE1C930" w14:textId="19EE8485" w:rsidR="00ED7BD1" w:rsidRDefault="00ED7BD1" w:rsidP="00AD04D1">
      <w:pPr>
        <w:pStyle w:val="ListParagraph"/>
        <w:numPr>
          <w:ilvl w:val="0"/>
          <w:numId w:val="44"/>
        </w:numPr>
        <w:ind w:left="360"/>
        <w:jc w:val="both"/>
        <w:rPr>
          <w:rFonts w:ascii="Source Sans Pro" w:hAnsi="Source Sans Pro"/>
          <w:sz w:val="22"/>
        </w:rPr>
      </w:pPr>
      <w:r w:rsidRPr="00D1574F">
        <w:rPr>
          <w:rFonts w:ascii="Source Sans Pro" w:hAnsi="Source Sans Pro"/>
          <w:sz w:val="22"/>
        </w:rPr>
        <w:t xml:space="preserve">In addition, South Staffordshire needs to work collaboratively with the Black Country </w:t>
      </w:r>
      <w:r w:rsidR="00A03389" w:rsidRPr="00D1574F">
        <w:rPr>
          <w:rFonts w:ascii="Source Sans Pro" w:hAnsi="Source Sans Pro"/>
          <w:sz w:val="22"/>
        </w:rPr>
        <w:t>lo</w:t>
      </w:r>
      <w:r w:rsidRPr="00D1574F">
        <w:rPr>
          <w:rFonts w:ascii="Source Sans Pro" w:hAnsi="Source Sans Pro"/>
          <w:sz w:val="22"/>
        </w:rPr>
        <w:t xml:space="preserve">cal </w:t>
      </w:r>
      <w:r w:rsidR="00A03389" w:rsidRPr="00D1574F">
        <w:rPr>
          <w:rFonts w:ascii="Source Sans Pro" w:hAnsi="Source Sans Pro"/>
          <w:sz w:val="22"/>
        </w:rPr>
        <w:t>p</w:t>
      </w:r>
      <w:r w:rsidRPr="00D1574F">
        <w:rPr>
          <w:rFonts w:ascii="Source Sans Pro" w:hAnsi="Source Sans Pro"/>
          <w:sz w:val="22"/>
        </w:rPr>
        <w:t xml:space="preserve">lanning </w:t>
      </w:r>
      <w:r w:rsidR="00A03389" w:rsidRPr="00D1574F">
        <w:rPr>
          <w:rFonts w:ascii="Source Sans Pro" w:hAnsi="Source Sans Pro"/>
          <w:sz w:val="22"/>
        </w:rPr>
        <w:t>a</w:t>
      </w:r>
      <w:r w:rsidRPr="00D1574F">
        <w:rPr>
          <w:rFonts w:ascii="Source Sans Pro" w:hAnsi="Source Sans Pro"/>
          <w:sz w:val="22"/>
        </w:rPr>
        <w:t>uthorities to ensure a sufficient quantity and quality of employment development is brought forward to meet wide</w:t>
      </w:r>
      <w:r w:rsidR="00A03389" w:rsidRPr="00D1574F">
        <w:rPr>
          <w:rFonts w:ascii="Source Sans Pro" w:hAnsi="Source Sans Pro"/>
          <w:sz w:val="22"/>
        </w:rPr>
        <w:t>r</w:t>
      </w:r>
      <w:r w:rsidRPr="00D1574F">
        <w:rPr>
          <w:rFonts w:ascii="Source Sans Pro" w:hAnsi="Source Sans Pro"/>
          <w:sz w:val="22"/>
        </w:rPr>
        <w:t xml:space="preserve"> employment needs of its FEMA.  This should include freestanding strategic employment sites, given the lack of such sites serving the Black Country and the recommendations of the West Midlands Strategic Employment Site</w:t>
      </w:r>
      <w:r w:rsidR="00A03389" w:rsidRPr="00D1574F">
        <w:rPr>
          <w:rFonts w:ascii="Source Sans Pro" w:hAnsi="Source Sans Pro"/>
          <w:sz w:val="22"/>
        </w:rPr>
        <w:t>s</w:t>
      </w:r>
      <w:r w:rsidRPr="00D1574F">
        <w:rPr>
          <w:rFonts w:ascii="Source Sans Pro" w:hAnsi="Source Sans Pro"/>
          <w:sz w:val="22"/>
        </w:rPr>
        <w:t xml:space="preserve"> Study of 2021</w:t>
      </w:r>
      <w:r w:rsidR="00D1574F">
        <w:rPr>
          <w:rFonts w:ascii="Source Sans Pro" w:hAnsi="Source Sans Pro"/>
          <w:sz w:val="22"/>
        </w:rPr>
        <w:t>.</w:t>
      </w:r>
    </w:p>
    <w:p w14:paraId="3DADFE08" w14:textId="77777777" w:rsidR="00D1574F" w:rsidRPr="00D1574F" w:rsidRDefault="00D1574F" w:rsidP="00D1574F">
      <w:pPr>
        <w:pStyle w:val="ListParagraph"/>
        <w:rPr>
          <w:rFonts w:ascii="Source Sans Pro" w:hAnsi="Source Sans Pro"/>
          <w:sz w:val="22"/>
        </w:rPr>
      </w:pPr>
    </w:p>
    <w:p w14:paraId="6E5E9604" w14:textId="77777777" w:rsidR="00D1574F" w:rsidRPr="00D1574F" w:rsidRDefault="00D1574F" w:rsidP="00D1574F">
      <w:pPr>
        <w:jc w:val="both"/>
        <w:rPr>
          <w:rFonts w:ascii="Source Sans Pro" w:hAnsi="Source Sans Pro"/>
          <w:sz w:val="22"/>
        </w:rPr>
      </w:pPr>
    </w:p>
    <w:p w14:paraId="6AB996F9" w14:textId="641ACD4F" w:rsidR="00ED7BD1" w:rsidRDefault="00ED7BD1" w:rsidP="005A6880">
      <w:pPr>
        <w:pStyle w:val="ListParagraph"/>
        <w:numPr>
          <w:ilvl w:val="0"/>
          <w:numId w:val="44"/>
        </w:numPr>
        <w:ind w:left="360"/>
        <w:jc w:val="both"/>
        <w:rPr>
          <w:rFonts w:ascii="Source Sans Pro" w:hAnsi="Source Sans Pro"/>
          <w:sz w:val="22"/>
        </w:rPr>
      </w:pPr>
      <w:r>
        <w:rPr>
          <w:rFonts w:ascii="Source Sans Pro" w:hAnsi="Source Sans Pro"/>
          <w:sz w:val="22"/>
        </w:rPr>
        <w:lastRenderedPageBreak/>
        <w:t>Hilton Park, at Junction 11, M6, is an obvious candidate for a new freestanding strategic employment site.  It is well located, is closely related to planned infrastructure improvements (</w:t>
      </w:r>
      <w:proofErr w:type="spellStart"/>
      <w:r>
        <w:rPr>
          <w:rFonts w:ascii="Source Sans Pro" w:hAnsi="Source Sans Pro"/>
          <w:sz w:val="22"/>
        </w:rPr>
        <w:t>i.e</w:t>
      </w:r>
      <w:proofErr w:type="spellEnd"/>
      <w:r>
        <w:rPr>
          <w:rFonts w:ascii="Source Sans Pro" w:hAnsi="Source Sans Pro"/>
          <w:sz w:val="22"/>
        </w:rPr>
        <w:t xml:space="preserve"> the M54/M6 link road) and has scale. </w:t>
      </w:r>
      <w:r w:rsidR="003D1EF6">
        <w:rPr>
          <w:rFonts w:ascii="Source Sans Pro" w:hAnsi="Source Sans Pro"/>
          <w:sz w:val="22"/>
        </w:rPr>
        <w:t>It provides a developable area of 43 hectares and could be delivering new industrial and warehouse units by 2025.</w:t>
      </w:r>
      <w:r>
        <w:rPr>
          <w:rFonts w:ascii="Source Sans Pro" w:hAnsi="Source Sans Pro"/>
          <w:sz w:val="22"/>
        </w:rPr>
        <w:t xml:space="preserve"> It is well suited to meet both local and wider market needs and was ranked very highly by the West Midlands Strategic Employment Site Study of 2021 as a potential new strategic development opportunity. </w:t>
      </w:r>
    </w:p>
    <w:p w14:paraId="50A3A845" w14:textId="77777777" w:rsidR="005A1359" w:rsidRPr="00ED7BD1" w:rsidRDefault="005A1359" w:rsidP="00ED7BD1">
      <w:pPr>
        <w:pStyle w:val="ListParagraph"/>
        <w:rPr>
          <w:rFonts w:ascii="Source Sans Pro" w:hAnsi="Source Sans Pro"/>
          <w:sz w:val="22"/>
        </w:rPr>
      </w:pPr>
    </w:p>
    <w:p w14:paraId="1039867B" w14:textId="36A1DA3D" w:rsidR="00ED7BD1" w:rsidRDefault="00CB0BF5" w:rsidP="005A6880">
      <w:pPr>
        <w:pStyle w:val="ListParagraph"/>
        <w:numPr>
          <w:ilvl w:val="0"/>
          <w:numId w:val="44"/>
        </w:numPr>
        <w:ind w:left="360"/>
        <w:jc w:val="both"/>
        <w:rPr>
          <w:rFonts w:ascii="Source Sans Pro" w:hAnsi="Source Sans Pro"/>
          <w:sz w:val="22"/>
        </w:rPr>
      </w:pPr>
      <w:r>
        <w:rPr>
          <w:rFonts w:ascii="Source Sans Pro" w:hAnsi="Source Sans Pro"/>
          <w:sz w:val="22"/>
        </w:rPr>
        <w:t xml:space="preserve">This development opportunity should be reassessed by the Council prior to allocating additional sites, through Policy SA7, to meet fully the needs for new employment development land for the district. </w:t>
      </w:r>
    </w:p>
    <w:p w14:paraId="7A3E21E9" w14:textId="52F8182F" w:rsidR="00CB0BF5" w:rsidRDefault="00CB0BF5" w:rsidP="00CB0BF5">
      <w:pPr>
        <w:pStyle w:val="ListParagraph"/>
        <w:ind w:left="360"/>
        <w:jc w:val="both"/>
        <w:rPr>
          <w:rFonts w:ascii="Source Sans Pro" w:hAnsi="Source Sans Pro"/>
          <w:sz w:val="22"/>
        </w:rPr>
      </w:pPr>
    </w:p>
    <w:p w14:paraId="4DDD928F" w14:textId="77777777" w:rsidR="00D1574F" w:rsidRDefault="00D1574F" w:rsidP="00A00C7A">
      <w:pPr>
        <w:pStyle w:val="ListParagraph"/>
        <w:ind w:left="0"/>
        <w:jc w:val="both"/>
        <w:rPr>
          <w:rFonts w:ascii="Source Sans Pro" w:hAnsi="Source Sans Pro"/>
          <w:b/>
          <w:bCs/>
          <w:sz w:val="22"/>
        </w:rPr>
      </w:pPr>
    </w:p>
    <w:p w14:paraId="34E18D6C" w14:textId="77777777" w:rsidR="00D1574F" w:rsidRDefault="00D1574F" w:rsidP="00A00C7A">
      <w:pPr>
        <w:pStyle w:val="ListParagraph"/>
        <w:ind w:left="0"/>
        <w:jc w:val="both"/>
        <w:rPr>
          <w:rFonts w:ascii="Source Sans Pro" w:hAnsi="Source Sans Pro"/>
          <w:b/>
          <w:bCs/>
          <w:sz w:val="22"/>
        </w:rPr>
      </w:pPr>
    </w:p>
    <w:p w14:paraId="12C4A1A3" w14:textId="484C5EE7" w:rsidR="00A00C7A" w:rsidRDefault="00A00C7A" w:rsidP="00A00C7A">
      <w:pPr>
        <w:pStyle w:val="ListParagraph"/>
        <w:ind w:left="0"/>
        <w:jc w:val="both"/>
        <w:rPr>
          <w:rFonts w:ascii="Source Sans Pro" w:hAnsi="Source Sans Pro"/>
          <w:b/>
          <w:bCs/>
          <w:sz w:val="22"/>
        </w:rPr>
      </w:pPr>
      <w:r>
        <w:rPr>
          <w:rFonts w:ascii="Source Sans Pro" w:hAnsi="Source Sans Pro"/>
          <w:b/>
          <w:bCs/>
          <w:sz w:val="22"/>
        </w:rPr>
        <w:t>PJL</w:t>
      </w:r>
    </w:p>
    <w:p w14:paraId="5589F0C1" w14:textId="011752AE" w:rsidR="00A00C7A" w:rsidRDefault="00A00C7A" w:rsidP="00A00C7A">
      <w:pPr>
        <w:pStyle w:val="ListParagraph"/>
        <w:ind w:left="0"/>
        <w:jc w:val="both"/>
        <w:rPr>
          <w:rFonts w:ascii="Source Sans Pro" w:hAnsi="Source Sans Pro"/>
          <w:b/>
          <w:bCs/>
          <w:sz w:val="22"/>
        </w:rPr>
      </w:pPr>
      <w:r>
        <w:rPr>
          <w:rFonts w:ascii="Source Sans Pro" w:hAnsi="Source Sans Pro"/>
          <w:b/>
          <w:bCs/>
          <w:sz w:val="22"/>
        </w:rPr>
        <w:t>JLL</w:t>
      </w:r>
    </w:p>
    <w:p w14:paraId="76CB83CC" w14:textId="77716D31" w:rsidR="00A00C7A" w:rsidRPr="00A00C7A" w:rsidRDefault="00A00C7A" w:rsidP="00A00C7A">
      <w:pPr>
        <w:pStyle w:val="ListParagraph"/>
        <w:ind w:left="0"/>
        <w:jc w:val="both"/>
        <w:rPr>
          <w:rFonts w:ascii="Source Sans Pro" w:hAnsi="Source Sans Pro"/>
          <w:b/>
          <w:bCs/>
          <w:sz w:val="22"/>
        </w:rPr>
      </w:pPr>
      <w:r>
        <w:rPr>
          <w:rFonts w:ascii="Source Sans Pro" w:hAnsi="Source Sans Pro"/>
          <w:b/>
          <w:bCs/>
          <w:sz w:val="22"/>
        </w:rPr>
        <w:t>1</w:t>
      </w:r>
      <w:r w:rsidR="00D1574F">
        <w:rPr>
          <w:rFonts w:ascii="Source Sans Pro" w:hAnsi="Source Sans Pro"/>
          <w:b/>
          <w:bCs/>
          <w:sz w:val="22"/>
        </w:rPr>
        <w:t>9</w:t>
      </w:r>
      <w:r>
        <w:rPr>
          <w:rFonts w:ascii="Source Sans Pro" w:hAnsi="Source Sans Pro"/>
          <w:b/>
          <w:bCs/>
          <w:sz w:val="22"/>
        </w:rPr>
        <w:t xml:space="preserve"> December 2022</w:t>
      </w:r>
    </w:p>
    <w:sectPr w:rsidR="00A00C7A" w:rsidRPr="00A00C7A" w:rsidSect="007D4E6E">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F6A7" w14:textId="77777777" w:rsidR="00E10A41" w:rsidRDefault="00E10A41" w:rsidP="00A42B5D">
      <w:r>
        <w:separator/>
      </w:r>
    </w:p>
  </w:endnote>
  <w:endnote w:type="continuationSeparator" w:id="0">
    <w:p w14:paraId="2F36C047" w14:textId="77777777" w:rsidR="00E10A41" w:rsidRDefault="00E10A41" w:rsidP="00A42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Arial"/>
    <w:panose1 w:val="020B0503030403020204"/>
    <w:charset w:val="00"/>
    <w:family w:val="swiss"/>
    <w:pitch w:val="variable"/>
    <w:sig w:usb0="20000287" w:usb1="00000001" w:usb2="00000000" w:usb3="00000000" w:csb0="0000019F" w:csb1="00000000"/>
  </w:font>
  <w:font w:name="Source Sans Pro SemiBold">
    <w:altName w:val="Arial"/>
    <w:panose1 w:val="020B06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8411" w14:textId="77777777" w:rsidR="00D005B8" w:rsidRDefault="00D00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324964"/>
      <w:docPartObj>
        <w:docPartGallery w:val="Page Numbers (Bottom of Page)"/>
        <w:docPartUnique/>
      </w:docPartObj>
    </w:sdtPr>
    <w:sdtEndPr>
      <w:rPr>
        <w:noProof/>
      </w:rPr>
    </w:sdtEndPr>
    <w:sdtContent>
      <w:p w14:paraId="058A2FE2" w14:textId="53A8D4BB" w:rsidR="00D005B8" w:rsidRDefault="00D005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BD246D" w14:textId="77777777" w:rsidR="00D005B8" w:rsidRDefault="00D005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25FE" w14:textId="77777777" w:rsidR="00D005B8" w:rsidRDefault="00D00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E6DEA" w14:textId="77777777" w:rsidR="00E10A41" w:rsidRDefault="00E10A41" w:rsidP="00A42B5D">
      <w:r>
        <w:separator/>
      </w:r>
    </w:p>
  </w:footnote>
  <w:footnote w:type="continuationSeparator" w:id="0">
    <w:p w14:paraId="0D64AC28" w14:textId="77777777" w:rsidR="00E10A41" w:rsidRDefault="00E10A41" w:rsidP="00A42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4307" w14:textId="77777777" w:rsidR="00D005B8" w:rsidRDefault="00D00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3643" w14:textId="2551AF61" w:rsidR="00E4497F" w:rsidRDefault="00547457">
    <w:pPr>
      <w:pStyle w:val="Header"/>
    </w:pPr>
    <w:r>
      <w:rPr>
        <w:noProof/>
      </w:rPr>
      <w:drawing>
        <wp:anchor distT="0" distB="0" distL="114300" distR="114300" simplePos="0" relativeHeight="251660288" behindDoc="0" locked="1" layoutInCell="1" allowOverlap="1" wp14:anchorId="5F44CCAF" wp14:editId="2E417C90">
          <wp:simplePos x="0" y="0"/>
          <wp:positionH relativeFrom="margin">
            <wp:align>right</wp:align>
          </wp:positionH>
          <wp:positionV relativeFrom="page">
            <wp:posOffset>517525</wp:posOffset>
          </wp:positionV>
          <wp:extent cx="1313815" cy="577215"/>
          <wp:effectExtent l="0" t="0" r="635" b="0"/>
          <wp:wrapNone/>
          <wp:docPr id="26" name="shpFPLogo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pFPLogoPositive"/>
                  <pic:cNvPicPr/>
                </pic:nvPicPr>
                <pic:blipFill rotWithShape="1">
                  <a:blip r:embed="rId1">
                    <a:extLst>
                      <a:ext uri="{28A0092B-C50C-407E-A947-70E740481C1C}">
                        <a14:useLocalDpi xmlns:a14="http://schemas.microsoft.com/office/drawing/2010/main" val="0"/>
                      </a:ext>
                    </a:extLst>
                  </a:blip>
                  <a:srcRect l="10676" t="22647" r="12887" b="22816"/>
                  <a:stretch/>
                </pic:blipFill>
                <pic:spPr bwMode="auto">
                  <a:xfrm>
                    <a:off x="0" y="0"/>
                    <a:ext cx="1313815" cy="57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B5953" w14:textId="714E964C" w:rsidR="00E4497F" w:rsidRDefault="00E4497F">
    <w:pPr>
      <w:pStyle w:val="Header"/>
    </w:pPr>
  </w:p>
  <w:p w14:paraId="6EE8D6F2" w14:textId="758AED22" w:rsidR="00E4497F" w:rsidRDefault="00E4497F">
    <w:pPr>
      <w:pStyle w:val="Header"/>
    </w:pPr>
  </w:p>
  <w:p w14:paraId="6DB82EDB" w14:textId="4DEA6AFD" w:rsidR="00E4497F" w:rsidRDefault="00E4497F">
    <w:pPr>
      <w:pStyle w:val="Header"/>
    </w:pPr>
  </w:p>
  <w:p w14:paraId="35174740" w14:textId="77777777" w:rsidR="00E4497F" w:rsidRDefault="00E449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F468" w14:textId="77777777" w:rsidR="00D005B8" w:rsidRDefault="00D00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BFA25D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D8C2287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A62631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E33DC"/>
    <w:multiLevelType w:val="hybridMultilevel"/>
    <w:tmpl w:val="99D63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443B8"/>
    <w:multiLevelType w:val="multilevel"/>
    <w:tmpl w:val="69A417A8"/>
    <w:lvl w:ilvl="0">
      <w:start w:val="1"/>
      <w:numFmt w:val="bullet"/>
      <w:lvlText w:val="■"/>
      <w:lvlJc w:val="left"/>
      <w:pPr>
        <w:ind w:left="360" w:hanging="360"/>
      </w:pPr>
      <w:rPr>
        <w:rFonts w:ascii="Arial" w:hAnsi="Arial"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8832B72"/>
    <w:multiLevelType w:val="multilevel"/>
    <w:tmpl w:val="F62A29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27676A5"/>
    <w:multiLevelType w:val="multilevel"/>
    <w:tmpl w:val="982669B4"/>
    <w:styleLink w:val="TFTPhotographCaptionList"/>
    <w:lvl w:ilvl="0">
      <w:start w:val="1"/>
      <w:numFmt w:val="decimal"/>
      <w:pStyle w:val="PhotographCaption"/>
      <w:suff w:val="space"/>
      <w:lvlText w:val="Photo %1:"/>
      <w:lvlJc w:val="left"/>
      <w:pPr>
        <w:ind w:left="0" w:firstLine="0"/>
      </w:pPr>
      <w:rPr>
        <w:rFonts w:hint="default"/>
        <w:b/>
        <w:i w:val="0"/>
        <w:caps w:val="0"/>
        <w:color w:val="783CB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4C0071"/>
    <w:multiLevelType w:val="hybridMultilevel"/>
    <w:tmpl w:val="31224426"/>
    <w:lvl w:ilvl="0" w:tplc="F2506EC6">
      <w:start w:val="1"/>
      <w:numFmt w:val="bullet"/>
      <w:lvlText w:val="■"/>
      <w:lvlJc w:val="left"/>
      <w:pPr>
        <w:ind w:left="1440" w:hanging="360"/>
      </w:pPr>
      <w:rPr>
        <w:rFonts w:ascii="Arial" w:hAnsi="Aria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40A4351"/>
    <w:multiLevelType w:val="hybridMultilevel"/>
    <w:tmpl w:val="D9BEE4EC"/>
    <w:lvl w:ilvl="0" w:tplc="76A04734">
      <w:start w:val="1"/>
      <w:numFmt w:val="bullet"/>
      <w:lvlText w:val=""/>
      <w:lvlJc w:val="left"/>
      <w:pPr>
        <w:ind w:left="1457" w:hanging="360"/>
      </w:pPr>
      <w:rPr>
        <w:rFonts w:ascii="Symbol" w:hAnsi="Symbol" w:hint="default"/>
        <w:color w:val="783CBD"/>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9" w15:restartNumberingAfterBreak="0">
    <w:nsid w:val="240B7ECC"/>
    <w:multiLevelType w:val="hybridMultilevel"/>
    <w:tmpl w:val="04EE7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4D4C9D"/>
    <w:multiLevelType w:val="multilevel"/>
    <w:tmpl w:val="370AE28A"/>
    <w:styleLink w:val="TFTEnquiryBullets"/>
    <w:lvl w:ilvl="0">
      <w:start w:val="1"/>
      <w:numFmt w:val="decimal"/>
      <w:pStyle w:val="EnquiryBullet"/>
      <w:lvlText w:val="E%1."/>
      <w:lvlJc w:val="left"/>
      <w:pPr>
        <w:tabs>
          <w:tab w:val="num" w:pos="737"/>
        </w:tabs>
        <w:ind w:left="737" w:hanging="737"/>
      </w:pPr>
      <w:rPr>
        <w:rFonts w:hint="default"/>
        <w:b/>
        <w:i w:val="0"/>
        <w:color w:val="783CB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086A3F"/>
    <w:multiLevelType w:val="hybridMultilevel"/>
    <w:tmpl w:val="6B7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010FF"/>
    <w:multiLevelType w:val="multilevel"/>
    <w:tmpl w:val="7F882BFE"/>
    <w:styleLink w:val="TFTTOC1"/>
    <w:lvl w:ilvl="0">
      <w:start w:val="1"/>
      <w:numFmt w:val="decimal"/>
      <w:pStyle w:val="TOC1"/>
      <w:lvlText w:val="%1"/>
      <w:lvlJc w:val="left"/>
      <w:pPr>
        <w:tabs>
          <w:tab w:val="num" w:pos="567"/>
        </w:tabs>
        <w:ind w:left="567" w:hanging="567"/>
      </w:pPr>
      <w:rPr>
        <w:rFonts w:ascii="Arial Bold" w:hAnsi="Arial Bold" w:hint="default"/>
        <w:b/>
        <w:i w:val="0"/>
        <w:color w:val="783CBD"/>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F80CF3"/>
    <w:multiLevelType w:val="hybridMultilevel"/>
    <w:tmpl w:val="14F088B2"/>
    <w:lvl w:ilvl="0" w:tplc="F2506EC6">
      <w:start w:val="1"/>
      <w:numFmt w:val="bullet"/>
      <w:lvlText w:val="■"/>
      <w:lvlJc w:val="left"/>
      <w:pPr>
        <w:ind w:left="1080" w:hanging="360"/>
      </w:pPr>
      <w:rPr>
        <w:rFonts w:ascii="Arial" w:hAnsi="Aria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DF1529"/>
    <w:multiLevelType w:val="multilevel"/>
    <w:tmpl w:val="174035B2"/>
    <w:lvl w:ilvl="0">
      <w:start w:val="1"/>
      <w:numFmt w:val="decimal"/>
      <w:suff w:val="nothing"/>
      <w:lvlText w:val="%1"/>
      <w:lvlJc w:val="left"/>
      <w:pPr>
        <w:ind w:left="0" w:firstLine="0"/>
      </w:pPr>
      <w:rPr>
        <w:rFonts w:hint="default"/>
        <w:vanish/>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lvlText w:val="%1.%4"/>
      <w:lvlJc w:val="left"/>
      <w:pPr>
        <w:tabs>
          <w:tab w:val="num" w:pos="737"/>
        </w:tabs>
        <w:ind w:left="737" w:hanging="737"/>
      </w:pPr>
      <w:rPr>
        <w:rFonts w:hint="default"/>
      </w:rPr>
    </w:lvl>
    <w:lvl w:ilvl="4">
      <w:start w:val="1"/>
      <w:numFmt w:val="bullet"/>
      <w:lvlText w:val=""/>
      <w:lvlJc w:val="left"/>
      <w:pPr>
        <w:tabs>
          <w:tab w:val="num" w:pos="737"/>
        </w:tabs>
        <w:ind w:left="737" w:hanging="737"/>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5DA04AA"/>
    <w:multiLevelType w:val="multilevel"/>
    <w:tmpl w:val="A32E87F2"/>
    <w:styleLink w:val="TFTNumbers"/>
    <w:lvl w:ilvl="0">
      <w:start w:val="1"/>
      <w:numFmt w:val="decimal"/>
      <w:pStyle w:val="ListNumber"/>
      <w:lvlText w:val="%1."/>
      <w:lvlJc w:val="left"/>
      <w:pPr>
        <w:tabs>
          <w:tab w:val="num" w:pos="737"/>
        </w:tabs>
        <w:ind w:left="737" w:hanging="737"/>
      </w:pPr>
      <w:rPr>
        <w:rFonts w:hint="default"/>
        <w:b/>
        <w:i w:val="0"/>
        <w:color w:val="783CB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B3F77EC"/>
    <w:multiLevelType w:val="multilevel"/>
    <w:tmpl w:val="0809001F"/>
    <w:numStyleLink w:val="Style1"/>
  </w:abstractNum>
  <w:abstractNum w:abstractNumId="17" w15:restartNumberingAfterBreak="0">
    <w:nsid w:val="4E031A58"/>
    <w:multiLevelType w:val="multilevel"/>
    <w:tmpl w:val="7F882BFE"/>
    <w:numStyleLink w:val="TFTTOC1"/>
  </w:abstractNum>
  <w:abstractNum w:abstractNumId="18" w15:restartNumberingAfterBreak="0">
    <w:nsid w:val="4E84766C"/>
    <w:multiLevelType w:val="multilevel"/>
    <w:tmpl w:val="2D2EA160"/>
    <w:lvl w:ilvl="0">
      <w:start w:val="1"/>
      <w:numFmt w:val="bullet"/>
      <w:lvlText w:val=""/>
      <w:lvlJc w:val="left"/>
      <w:pPr>
        <w:tabs>
          <w:tab w:val="num" w:pos="284"/>
        </w:tabs>
        <w:ind w:left="284" w:hanging="284"/>
      </w:pPr>
      <w:rPr>
        <w:rFonts w:ascii="Symbol" w:hAnsi="Symbol" w:hint="default"/>
        <w:b w:val="0"/>
        <w:i w:val="0"/>
        <w:caps w:val="0"/>
        <w:strike w:val="0"/>
        <w:dstrike w:val="0"/>
        <w:vanish w:val="0"/>
        <w:color w:val="783CBD"/>
        <w:spacing w:val="0"/>
        <w:w w:val="100"/>
        <w:kern w:val="0"/>
        <w:position w:val="0"/>
        <w:sz w:val="18"/>
        <w:u w:val="none"/>
        <w:effect w:val="none"/>
        <w:vertAlign w:val="baseline"/>
      </w:rPr>
    </w:lvl>
    <w:lvl w:ilvl="1">
      <w:start w:val="1"/>
      <w:numFmt w:val="bullet"/>
      <w:lvlText w:val=""/>
      <w:lvlJc w:val="left"/>
      <w:pPr>
        <w:tabs>
          <w:tab w:val="num" w:pos="567"/>
        </w:tabs>
        <w:ind w:left="568" w:hanging="284"/>
      </w:pPr>
      <w:rPr>
        <w:rFonts w:ascii="Symbol" w:hAnsi="Symbol" w:hint="default"/>
        <w:color w:val="auto"/>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15:restartNumberingAfterBreak="0">
    <w:nsid w:val="5031250D"/>
    <w:multiLevelType w:val="hybridMultilevel"/>
    <w:tmpl w:val="1A7EB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C83F27"/>
    <w:multiLevelType w:val="hybridMultilevel"/>
    <w:tmpl w:val="1A2C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F456BF"/>
    <w:multiLevelType w:val="multilevel"/>
    <w:tmpl w:val="A60C9418"/>
    <w:styleLink w:val="TFTConditionReportBullets"/>
    <w:lvl w:ilvl="0">
      <w:start w:val="1"/>
      <w:numFmt w:val="bullet"/>
      <w:pStyle w:val="ConditionReportBullet"/>
      <w:lvlText w:val=""/>
      <w:lvlJc w:val="left"/>
      <w:pPr>
        <w:tabs>
          <w:tab w:val="num" w:pos="1452"/>
        </w:tabs>
        <w:ind w:left="1452" w:hanging="358"/>
      </w:pPr>
      <w:rPr>
        <w:rFonts w:ascii="Symbol" w:hAnsi="Symbol" w:hint="default"/>
        <w:color w:val="783CB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3233281"/>
    <w:multiLevelType w:val="multilevel"/>
    <w:tmpl w:val="923202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3913366"/>
    <w:multiLevelType w:val="hybridMultilevel"/>
    <w:tmpl w:val="37C4AE0E"/>
    <w:lvl w:ilvl="0" w:tplc="84D8D1C8">
      <w:start w:val="1"/>
      <w:numFmt w:val="bullet"/>
      <w:pStyle w:val="BulletOneNoSpaceAfterJLL"/>
      <w:lvlText w:val="■"/>
      <w:lvlJc w:val="left"/>
      <w:pPr>
        <w:ind w:left="720" w:hanging="360"/>
      </w:pPr>
      <w:rPr>
        <w:rFonts w:ascii="Arial" w:hAnsi="Arial" w:hint="default"/>
        <w:color w:val="D519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5369BA"/>
    <w:multiLevelType w:val="hybridMultilevel"/>
    <w:tmpl w:val="C39A9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691607"/>
    <w:multiLevelType w:val="multilevel"/>
    <w:tmpl w:val="08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4337CC"/>
    <w:multiLevelType w:val="multilevel"/>
    <w:tmpl w:val="AEEE7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CCF0BF2"/>
    <w:multiLevelType w:val="multilevel"/>
    <w:tmpl w:val="1132025A"/>
    <w:styleLink w:val="TFTBullets"/>
    <w:lvl w:ilvl="0">
      <w:start w:val="1"/>
      <w:numFmt w:val="bullet"/>
      <w:pStyle w:val="ListBullet"/>
      <w:lvlText w:val=""/>
      <w:lvlJc w:val="left"/>
      <w:pPr>
        <w:tabs>
          <w:tab w:val="num" w:pos="284"/>
        </w:tabs>
        <w:ind w:left="284" w:hanging="284"/>
      </w:pPr>
      <w:rPr>
        <w:rFonts w:ascii="Symbol" w:hAnsi="Symbol" w:hint="default"/>
        <w:b/>
        <w:i w:val="0"/>
        <w:color w:val="783CBD"/>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CF1222B"/>
    <w:multiLevelType w:val="hybridMultilevel"/>
    <w:tmpl w:val="F3D02FDC"/>
    <w:lvl w:ilvl="0" w:tplc="76A04734">
      <w:start w:val="1"/>
      <w:numFmt w:val="bullet"/>
      <w:lvlText w:val=""/>
      <w:lvlJc w:val="left"/>
      <w:pPr>
        <w:ind w:left="720" w:hanging="360"/>
      </w:pPr>
      <w:rPr>
        <w:rFonts w:ascii="Symbol" w:hAnsi="Symbol" w:hint="default"/>
        <w:color w:val="783CBD"/>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AD2C9D"/>
    <w:multiLevelType w:val="hybridMultilevel"/>
    <w:tmpl w:val="85A45FAE"/>
    <w:lvl w:ilvl="0" w:tplc="1F9601D0">
      <w:start w:val="1"/>
      <w:numFmt w:val="bullet"/>
      <w:lvlText w:val=""/>
      <w:lvlJc w:val="left"/>
      <w:pPr>
        <w:ind w:left="1457" w:hanging="360"/>
      </w:pPr>
      <w:rPr>
        <w:rFonts w:ascii="Wingdings" w:hAnsi="Wingdings" w:hint="default"/>
        <w:color w:val="8A78B6"/>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0" w15:restartNumberingAfterBreak="0">
    <w:nsid w:val="736B15DA"/>
    <w:multiLevelType w:val="hybridMultilevel"/>
    <w:tmpl w:val="595A49FC"/>
    <w:lvl w:ilvl="0" w:tplc="F2506EC6">
      <w:start w:val="1"/>
      <w:numFmt w:val="bullet"/>
      <w:lvlText w:val="■"/>
      <w:lvlJc w:val="left"/>
      <w:pPr>
        <w:ind w:left="360" w:hanging="360"/>
      </w:pPr>
      <w:rPr>
        <w:rFonts w:ascii="Arial" w:hAnsi="Arial" w:hint="default"/>
        <w:color w:val="C00000"/>
      </w:rPr>
    </w:lvl>
    <w:lvl w:ilvl="1" w:tplc="63342DC2" w:tentative="1">
      <w:start w:val="1"/>
      <w:numFmt w:val="bullet"/>
      <w:lvlText w:val="o"/>
      <w:lvlJc w:val="left"/>
      <w:pPr>
        <w:ind w:left="1440" w:hanging="360"/>
      </w:pPr>
      <w:rPr>
        <w:rFonts w:ascii="Courier New" w:hAnsi="Courier New" w:cs="Courier New" w:hint="default"/>
      </w:rPr>
    </w:lvl>
    <w:lvl w:ilvl="2" w:tplc="EFCE7BDC" w:tentative="1">
      <w:start w:val="1"/>
      <w:numFmt w:val="bullet"/>
      <w:lvlText w:val=""/>
      <w:lvlJc w:val="left"/>
      <w:pPr>
        <w:ind w:left="2160" w:hanging="360"/>
      </w:pPr>
      <w:rPr>
        <w:rFonts w:ascii="Wingdings" w:hAnsi="Wingdings" w:hint="default"/>
      </w:rPr>
    </w:lvl>
    <w:lvl w:ilvl="3" w:tplc="47FA91C8" w:tentative="1">
      <w:start w:val="1"/>
      <w:numFmt w:val="bullet"/>
      <w:lvlText w:val=""/>
      <w:lvlJc w:val="left"/>
      <w:pPr>
        <w:ind w:left="2880" w:hanging="360"/>
      </w:pPr>
      <w:rPr>
        <w:rFonts w:ascii="Symbol" w:hAnsi="Symbol" w:hint="default"/>
      </w:rPr>
    </w:lvl>
    <w:lvl w:ilvl="4" w:tplc="3460D904" w:tentative="1">
      <w:start w:val="1"/>
      <w:numFmt w:val="bullet"/>
      <w:lvlText w:val="o"/>
      <w:lvlJc w:val="left"/>
      <w:pPr>
        <w:ind w:left="3600" w:hanging="360"/>
      </w:pPr>
      <w:rPr>
        <w:rFonts w:ascii="Courier New" w:hAnsi="Courier New" w:cs="Courier New" w:hint="default"/>
      </w:rPr>
    </w:lvl>
    <w:lvl w:ilvl="5" w:tplc="0A640DAC" w:tentative="1">
      <w:start w:val="1"/>
      <w:numFmt w:val="bullet"/>
      <w:lvlText w:val=""/>
      <w:lvlJc w:val="left"/>
      <w:pPr>
        <w:ind w:left="4320" w:hanging="360"/>
      </w:pPr>
      <w:rPr>
        <w:rFonts w:ascii="Wingdings" w:hAnsi="Wingdings" w:hint="default"/>
      </w:rPr>
    </w:lvl>
    <w:lvl w:ilvl="6" w:tplc="DA22ED9C" w:tentative="1">
      <w:start w:val="1"/>
      <w:numFmt w:val="bullet"/>
      <w:lvlText w:val=""/>
      <w:lvlJc w:val="left"/>
      <w:pPr>
        <w:ind w:left="5040" w:hanging="360"/>
      </w:pPr>
      <w:rPr>
        <w:rFonts w:ascii="Symbol" w:hAnsi="Symbol" w:hint="default"/>
      </w:rPr>
    </w:lvl>
    <w:lvl w:ilvl="7" w:tplc="28B06D8E" w:tentative="1">
      <w:start w:val="1"/>
      <w:numFmt w:val="bullet"/>
      <w:lvlText w:val="o"/>
      <w:lvlJc w:val="left"/>
      <w:pPr>
        <w:ind w:left="5760" w:hanging="360"/>
      </w:pPr>
      <w:rPr>
        <w:rFonts w:ascii="Courier New" w:hAnsi="Courier New" w:cs="Courier New" w:hint="default"/>
      </w:rPr>
    </w:lvl>
    <w:lvl w:ilvl="8" w:tplc="5780372E" w:tentative="1">
      <w:start w:val="1"/>
      <w:numFmt w:val="bullet"/>
      <w:lvlText w:val=""/>
      <w:lvlJc w:val="left"/>
      <w:pPr>
        <w:ind w:left="6480" w:hanging="360"/>
      </w:pPr>
      <w:rPr>
        <w:rFonts w:ascii="Wingdings" w:hAnsi="Wingdings" w:hint="default"/>
      </w:rPr>
    </w:lvl>
  </w:abstractNum>
  <w:abstractNum w:abstractNumId="31" w15:restartNumberingAfterBreak="0">
    <w:nsid w:val="788434BC"/>
    <w:multiLevelType w:val="hybridMultilevel"/>
    <w:tmpl w:val="62E2D2DE"/>
    <w:lvl w:ilvl="0" w:tplc="064E2AD8">
      <w:start w:val="1"/>
      <w:numFmt w:val="bullet"/>
      <w:lvlText w:val="■"/>
      <w:lvlJc w:val="left"/>
      <w:pPr>
        <w:ind w:left="360" w:hanging="360"/>
      </w:pPr>
      <w:rPr>
        <w:rFonts w:ascii="Arial" w:hAnsi="Arial" w:hint="default"/>
        <w:color w:val="E3061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472456"/>
    <w:multiLevelType w:val="hybridMultilevel"/>
    <w:tmpl w:val="62DE7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FA6F00"/>
    <w:multiLevelType w:val="multilevel"/>
    <w:tmpl w:val="2BC0C4A4"/>
    <w:styleLink w:val="TFTNumberedHeadings"/>
    <w:lvl w:ilvl="0">
      <w:start w:val="1"/>
      <w:numFmt w:val="decimal"/>
      <w:pStyle w:val="Heading1"/>
      <w:suff w:val="nothing"/>
      <w:lvlText w:val="%1"/>
      <w:lvlJc w:val="left"/>
      <w:pPr>
        <w:ind w:left="0" w:firstLine="0"/>
      </w:pPr>
      <w:rPr>
        <w:rFonts w:hint="default"/>
        <w:vanish/>
      </w:rPr>
    </w:lvl>
    <w:lvl w:ilvl="1">
      <w:start w:val="1"/>
      <w:numFmt w:val="decimal"/>
      <w:pStyle w:val="Heading2"/>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ConditionReportHeading"/>
      <w:lvlText w:val="%1.%4"/>
      <w:lvlJc w:val="left"/>
      <w:pPr>
        <w:tabs>
          <w:tab w:val="num" w:pos="737"/>
        </w:tabs>
        <w:ind w:left="737" w:hanging="737"/>
      </w:pPr>
      <w:rPr>
        <w:rFonts w:hint="default"/>
      </w:rPr>
    </w:lvl>
    <w:lvl w:ilvl="4">
      <w:start w:val="1"/>
      <w:numFmt w:val="decimal"/>
      <w:pStyle w:val="ConditionReportText"/>
      <w:lvlText w:val="%1.%4.%5"/>
      <w:lvlJc w:val="left"/>
      <w:pPr>
        <w:tabs>
          <w:tab w:val="num" w:pos="737"/>
        </w:tabs>
        <w:ind w:left="737" w:hanging="73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DBC5936"/>
    <w:multiLevelType w:val="hybridMultilevel"/>
    <w:tmpl w:val="5DE4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0"/>
    <w:lvlOverride w:ilvl="0">
      <w:lvl w:ilvl="0">
        <w:start w:val="1"/>
        <w:numFmt w:val="decimal"/>
        <w:pStyle w:val="EnquiryBullet"/>
        <w:lvlText w:val="E%1."/>
        <w:lvlJc w:val="left"/>
        <w:pPr>
          <w:tabs>
            <w:tab w:val="num" w:pos="737"/>
          </w:tabs>
          <w:ind w:left="737" w:hanging="737"/>
        </w:pPr>
        <w:rPr>
          <w:rFonts w:hint="default"/>
          <w:b/>
          <w:i w:val="0"/>
          <w:color w:val="783CBD"/>
        </w:rPr>
      </w:lvl>
    </w:lvlOverride>
  </w:num>
  <w:num w:numId="4">
    <w:abstractNumId w:val="6"/>
    <w:lvlOverride w:ilvl="0">
      <w:lvl w:ilvl="0">
        <w:start w:val="1"/>
        <w:numFmt w:val="decimal"/>
        <w:pStyle w:val="PhotographCaption"/>
        <w:suff w:val="space"/>
        <w:lvlText w:val="Photograph %1:"/>
        <w:lvlJc w:val="left"/>
        <w:pPr>
          <w:ind w:left="0" w:firstLine="0"/>
        </w:pPr>
        <w:rPr>
          <w:b/>
          <w:i w:val="0"/>
          <w:caps/>
          <w:color w:val="783CBD"/>
        </w:rPr>
      </w:lvl>
    </w:lvlOverride>
  </w:num>
  <w:num w:numId="5">
    <w:abstractNumId w:val="18"/>
  </w:num>
  <w:num w:numId="6">
    <w:abstractNumId w:val="6"/>
  </w:num>
  <w:num w:numId="7">
    <w:abstractNumId w:val="15"/>
    <w:lvlOverride w:ilvl="0">
      <w:lvl w:ilvl="0">
        <w:start w:val="1"/>
        <w:numFmt w:val="decimal"/>
        <w:pStyle w:val="ListNumber"/>
        <w:lvlText w:val="%1."/>
        <w:lvlJc w:val="left"/>
        <w:pPr>
          <w:tabs>
            <w:tab w:val="num" w:pos="737"/>
          </w:tabs>
          <w:ind w:left="737" w:hanging="737"/>
        </w:pPr>
        <w:rPr>
          <w:rFonts w:hint="default"/>
          <w:b/>
          <w:i w:val="0"/>
          <w:color w:val="783CBD"/>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33"/>
    <w:lvlOverride w:ilvl="0">
      <w:lvl w:ilvl="0">
        <w:start w:val="1"/>
        <w:numFmt w:val="decimal"/>
        <w:pStyle w:val="Heading1"/>
        <w:lvlText w:val="%1.0"/>
        <w:lvlJc w:val="left"/>
        <w:pPr>
          <w:tabs>
            <w:tab w:val="num" w:pos="737"/>
          </w:tabs>
          <w:ind w:left="737" w:hanging="737"/>
        </w:pPr>
        <w:rPr>
          <w:rFonts w:hint="default"/>
          <w:color w:val="783CBD"/>
        </w:rPr>
      </w:lvl>
    </w:lvlOverride>
    <w:lvlOverride w:ilvl="1">
      <w:lvl w:ilvl="1">
        <w:start w:val="1"/>
        <w:numFmt w:val="decimal"/>
        <w:pStyle w:val="Heading2"/>
        <w:lvlText w:val="%1.%2"/>
        <w:lvlJc w:val="left"/>
        <w:pPr>
          <w:tabs>
            <w:tab w:val="num" w:pos="737"/>
          </w:tabs>
          <w:ind w:left="737" w:hanging="737"/>
        </w:pPr>
        <w:rPr>
          <w:rFonts w:hint="default"/>
          <w:color w:val="783CBD"/>
        </w:rPr>
      </w:lvl>
    </w:lvlOverride>
  </w:num>
  <w:num w:numId="9">
    <w:abstractNumId w:val="29"/>
  </w:num>
  <w:num w:numId="10">
    <w:abstractNumId w:val="10"/>
  </w:num>
  <w:num w:numId="11">
    <w:abstractNumId w:val="15"/>
  </w:num>
  <w:num w:numId="12">
    <w:abstractNumId w:val="8"/>
  </w:num>
  <w:num w:numId="13">
    <w:abstractNumId w:val="28"/>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7"/>
  </w:num>
  <w:num w:numId="18">
    <w:abstractNumId w:val="0"/>
  </w:num>
  <w:num w:numId="19">
    <w:abstractNumId w:val="33"/>
  </w:num>
  <w:num w:numId="20">
    <w:abstractNumId w:val="33"/>
  </w:num>
  <w:num w:numId="21">
    <w:abstractNumId w:val="33"/>
  </w:num>
  <w:num w:numId="22">
    <w:abstractNumId w:val="33"/>
  </w:num>
  <w:num w:numId="23">
    <w:abstractNumId w:val="33"/>
  </w:num>
  <w:num w:numId="24">
    <w:abstractNumId w:val="33"/>
  </w:num>
  <w:num w:numId="25">
    <w:abstractNumId w:val="33"/>
  </w:num>
  <w:num w:numId="26">
    <w:abstractNumId w:val="1"/>
  </w:num>
  <w:num w:numId="27">
    <w:abstractNumId w:val="26"/>
  </w:num>
  <w:num w:numId="28">
    <w:abstractNumId w:val="22"/>
  </w:num>
  <w:num w:numId="29">
    <w:abstractNumId w:val="5"/>
  </w:num>
  <w:num w:numId="30">
    <w:abstractNumId w:val="2"/>
  </w:num>
  <w:num w:numId="31">
    <w:abstractNumId w:val="14"/>
  </w:num>
  <w:num w:numId="32">
    <w:abstractNumId w:val="21"/>
  </w:num>
  <w:num w:numId="33">
    <w:abstractNumId w:val="33"/>
  </w:num>
  <w:num w:numId="34">
    <w:abstractNumId w:val="3"/>
  </w:num>
  <w:num w:numId="35">
    <w:abstractNumId w:val="20"/>
  </w:num>
  <w:num w:numId="36">
    <w:abstractNumId w:val="34"/>
  </w:num>
  <w:num w:numId="37">
    <w:abstractNumId w:val="32"/>
  </w:num>
  <w:num w:numId="38">
    <w:abstractNumId w:val="30"/>
  </w:num>
  <w:num w:numId="39">
    <w:abstractNumId w:val="24"/>
  </w:num>
  <w:num w:numId="40">
    <w:abstractNumId w:val="31"/>
  </w:num>
  <w:num w:numId="41">
    <w:abstractNumId w:val="23"/>
  </w:num>
  <w:num w:numId="42">
    <w:abstractNumId w:val="16"/>
  </w:num>
  <w:num w:numId="43">
    <w:abstractNumId w:val="25"/>
  </w:num>
  <w:num w:numId="44">
    <w:abstractNumId w:val="19"/>
  </w:num>
  <w:num w:numId="45">
    <w:abstractNumId w:val="11"/>
  </w:num>
  <w:num w:numId="46">
    <w:abstractNumId w:val="13"/>
  </w:num>
  <w:num w:numId="47">
    <w:abstractNumId w:val="7"/>
  </w:num>
  <w:num w:numId="48">
    <w:abstractNumId w:val="4"/>
  </w:num>
  <w:num w:numId="4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0"/>
  <w:defaultTabStop w:val="720"/>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EFBC155-0360-446C-B7CA-60F9FD6F8E26}"/>
    <w:docVar w:name="dgnword-eventsink" w:val="123491080"/>
  </w:docVars>
  <w:rsids>
    <w:rsidRoot w:val="007D4E6E"/>
    <w:rsid w:val="00000789"/>
    <w:rsid w:val="00001CF3"/>
    <w:rsid w:val="00003C85"/>
    <w:rsid w:val="00004FF4"/>
    <w:rsid w:val="000062E6"/>
    <w:rsid w:val="000064E2"/>
    <w:rsid w:val="000067EC"/>
    <w:rsid w:val="00011DC5"/>
    <w:rsid w:val="000159C8"/>
    <w:rsid w:val="0002035F"/>
    <w:rsid w:val="000209FE"/>
    <w:rsid w:val="000235D7"/>
    <w:rsid w:val="0002388A"/>
    <w:rsid w:val="00025EE4"/>
    <w:rsid w:val="00027CA1"/>
    <w:rsid w:val="000336AC"/>
    <w:rsid w:val="00035483"/>
    <w:rsid w:val="00041B68"/>
    <w:rsid w:val="000422FE"/>
    <w:rsid w:val="00043435"/>
    <w:rsid w:val="00051188"/>
    <w:rsid w:val="00052D78"/>
    <w:rsid w:val="00053B72"/>
    <w:rsid w:val="000545A2"/>
    <w:rsid w:val="0006053D"/>
    <w:rsid w:val="00061E1E"/>
    <w:rsid w:val="000623B3"/>
    <w:rsid w:val="00064FF6"/>
    <w:rsid w:val="00070223"/>
    <w:rsid w:val="00070335"/>
    <w:rsid w:val="00071438"/>
    <w:rsid w:val="000728E1"/>
    <w:rsid w:val="000729CC"/>
    <w:rsid w:val="00073054"/>
    <w:rsid w:val="00075F5B"/>
    <w:rsid w:val="000846B5"/>
    <w:rsid w:val="0008558A"/>
    <w:rsid w:val="00087ABD"/>
    <w:rsid w:val="00087D41"/>
    <w:rsid w:val="00092161"/>
    <w:rsid w:val="000924AE"/>
    <w:rsid w:val="0009484F"/>
    <w:rsid w:val="00095E6E"/>
    <w:rsid w:val="00096B3E"/>
    <w:rsid w:val="00097C5D"/>
    <w:rsid w:val="000A0375"/>
    <w:rsid w:val="000A0723"/>
    <w:rsid w:val="000A08F5"/>
    <w:rsid w:val="000A3FB3"/>
    <w:rsid w:val="000A79A7"/>
    <w:rsid w:val="000B1D7E"/>
    <w:rsid w:val="000B2CE4"/>
    <w:rsid w:val="000B595A"/>
    <w:rsid w:val="000B6991"/>
    <w:rsid w:val="000C00A9"/>
    <w:rsid w:val="000C1EAD"/>
    <w:rsid w:val="000C2018"/>
    <w:rsid w:val="000C7716"/>
    <w:rsid w:val="000D0169"/>
    <w:rsid w:val="000D0B98"/>
    <w:rsid w:val="000D1863"/>
    <w:rsid w:val="000D1B29"/>
    <w:rsid w:val="000D24B0"/>
    <w:rsid w:val="000D395A"/>
    <w:rsid w:val="000D3B8C"/>
    <w:rsid w:val="000D4619"/>
    <w:rsid w:val="000D5A2D"/>
    <w:rsid w:val="000D6A3D"/>
    <w:rsid w:val="000D6E8B"/>
    <w:rsid w:val="000E0091"/>
    <w:rsid w:val="000E644C"/>
    <w:rsid w:val="000E6CA2"/>
    <w:rsid w:val="000F2A83"/>
    <w:rsid w:val="000F31EC"/>
    <w:rsid w:val="000F32FA"/>
    <w:rsid w:val="000F34CC"/>
    <w:rsid w:val="000F7417"/>
    <w:rsid w:val="000F7BA5"/>
    <w:rsid w:val="00100266"/>
    <w:rsid w:val="00101075"/>
    <w:rsid w:val="00101660"/>
    <w:rsid w:val="00101866"/>
    <w:rsid w:val="001036FB"/>
    <w:rsid w:val="00103B35"/>
    <w:rsid w:val="001116C7"/>
    <w:rsid w:val="00112D31"/>
    <w:rsid w:val="00112D3D"/>
    <w:rsid w:val="0011468F"/>
    <w:rsid w:val="00114A0F"/>
    <w:rsid w:val="00115F11"/>
    <w:rsid w:val="0011718F"/>
    <w:rsid w:val="0012282E"/>
    <w:rsid w:val="0012395D"/>
    <w:rsid w:val="00126FB4"/>
    <w:rsid w:val="00133231"/>
    <w:rsid w:val="00137100"/>
    <w:rsid w:val="00137E01"/>
    <w:rsid w:val="00140556"/>
    <w:rsid w:val="001431B2"/>
    <w:rsid w:val="001440EC"/>
    <w:rsid w:val="0014667E"/>
    <w:rsid w:val="001479B7"/>
    <w:rsid w:val="0015083B"/>
    <w:rsid w:val="00151978"/>
    <w:rsid w:val="001528B2"/>
    <w:rsid w:val="00153A9C"/>
    <w:rsid w:val="0015534E"/>
    <w:rsid w:val="001556ED"/>
    <w:rsid w:val="00157F1B"/>
    <w:rsid w:val="00160DE8"/>
    <w:rsid w:val="00161316"/>
    <w:rsid w:val="00162139"/>
    <w:rsid w:val="00163CD9"/>
    <w:rsid w:val="001640BD"/>
    <w:rsid w:val="00164685"/>
    <w:rsid w:val="001651FB"/>
    <w:rsid w:val="001653D7"/>
    <w:rsid w:val="0016622B"/>
    <w:rsid w:val="001665A0"/>
    <w:rsid w:val="00167335"/>
    <w:rsid w:val="001707F0"/>
    <w:rsid w:val="001728AE"/>
    <w:rsid w:val="00172EB2"/>
    <w:rsid w:val="001732E1"/>
    <w:rsid w:val="00173834"/>
    <w:rsid w:val="00175E48"/>
    <w:rsid w:val="001774CD"/>
    <w:rsid w:val="001808C7"/>
    <w:rsid w:val="001809D2"/>
    <w:rsid w:val="00181CB8"/>
    <w:rsid w:val="00184123"/>
    <w:rsid w:val="00184738"/>
    <w:rsid w:val="00184950"/>
    <w:rsid w:val="001878FA"/>
    <w:rsid w:val="001912AC"/>
    <w:rsid w:val="00191CA8"/>
    <w:rsid w:val="00192628"/>
    <w:rsid w:val="00193138"/>
    <w:rsid w:val="001934B3"/>
    <w:rsid w:val="001956F2"/>
    <w:rsid w:val="00196A0F"/>
    <w:rsid w:val="001A062D"/>
    <w:rsid w:val="001A468E"/>
    <w:rsid w:val="001A4AFA"/>
    <w:rsid w:val="001A5439"/>
    <w:rsid w:val="001A68FB"/>
    <w:rsid w:val="001A6C84"/>
    <w:rsid w:val="001A761C"/>
    <w:rsid w:val="001B01DD"/>
    <w:rsid w:val="001B07F1"/>
    <w:rsid w:val="001B2466"/>
    <w:rsid w:val="001B314E"/>
    <w:rsid w:val="001B3597"/>
    <w:rsid w:val="001B3EAB"/>
    <w:rsid w:val="001B7ADF"/>
    <w:rsid w:val="001C0259"/>
    <w:rsid w:val="001C2D45"/>
    <w:rsid w:val="001C4D25"/>
    <w:rsid w:val="001C5D10"/>
    <w:rsid w:val="001D2D89"/>
    <w:rsid w:val="001D36AE"/>
    <w:rsid w:val="001D3A27"/>
    <w:rsid w:val="001D4926"/>
    <w:rsid w:val="001D49A0"/>
    <w:rsid w:val="001D74C0"/>
    <w:rsid w:val="001E2D4C"/>
    <w:rsid w:val="001E5177"/>
    <w:rsid w:val="001E7169"/>
    <w:rsid w:val="001E7D2C"/>
    <w:rsid w:val="001F154A"/>
    <w:rsid w:val="001F29D1"/>
    <w:rsid w:val="001F6443"/>
    <w:rsid w:val="001F6B95"/>
    <w:rsid w:val="001F7648"/>
    <w:rsid w:val="001F7BB1"/>
    <w:rsid w:val="00200043"/>
    <w:rsid w:val="00200328"/>
    <w:rsid w:val="002035E2"/>
    <w:rsid w:val="00205576"/>
    <w:rsid w:val="00206362"/>
    <w:rsid w:val="0020703A"/>
    <w:rsid w:val="00207DF1"/>
    <w:rsid w:val="00211AC5"/>
    <w:rsid w:val="00211B53"/>
    <w:rsid w:val="0021280F"/>
    <w:rsid w:val="0021305F"/>
    <w:rsid w:val="002138B5"/>
    <w:rsid w:val="00214BCF"/>
    <w:rsid w:val="00222497"/>
    <w:rsid w:val="00224D67"/>
    <w:rsid w:val="00225DCA"/>
    <w:rsid w:val="00226645"/>
    <w:rsid w:val="00230D35"/>
    <w:rsid w:val="00230FAB"/>
    <w:rsid w:val="002328AC"/>
    <w:rsid w:val="00233451"/>
    <w:rsid w:val="002344B2"/>
    <w:rsid w:val="00234966"/>
    <w:rsid w:val="00240E29"/>
    <w:rsid w:val="00242E2C"/>
    <w:rsid w:val="0024365A"/>
    <w:rsid w:val="0024368C"/>
    <w:rsid w:val="00244034"/>
    <w:rsid w:val="00244528"/>
    <w:rsid w:val="002463BE"/>
    <w:rsid w:val="00247AFE"/>
    <w:rsid w:val="0025410F"/>
    <w:rsid w:val="00254EE5"/>
    <w:rsid w:val="002550B3"/>
    <w:rsid w:val="0025547B"/>
    <w:rsid w:val="00255B93"/>
    <w:rsid w:val="00256E39"/>
    <w:rsid w:val="00257D23"/>
    <w:rsid w:val="002605E8"/>
    <w:rsid w:val="002609B6"/>
    <w:rsid w:val="00261E4E"/>
    <w:rsid w:val="002633AB"/>
    <w:rsid w:val="00264FB6"/>
    <w:rsid w:val="00265546"/>
    <w:rsid w:val="00267D4E"/>
    <w:rsid w:val="002718C1"/>
    <w:rsid w:val="00272EE3"/>
    <w:rsid w:val="002735B6"/>
    <w:rsid w:val="002748FB"/>
    <w:rsid w:val="00274C3D"/>
    <w:rsid w:val="0027526E"/>
    <w:rsid w:val="0028027C"/>
    <w:rsid w:val="00280D53"/>
    <w:rsid w:val="002821BD"/>
    <w:rsid w:val="00283279"/>
    <w:rsid w:val="00284357"/>
    <w:rsid w:val="00285C7D"/>
    <w:rsid w:val="00285E89"/>
    <w:rsid w:val="00286EAB"/>
    <w:rsid w:val="00290FBE"/>
    <w:rsid w:val="002938A3"/>
    <w:rsid w:val="002950D2"/>
    <w:rsid w:val="00296234"/>
    <w:rsid w:val="002966F4"/>
    <w:rsid w:val="00296CCE"/>
    <w:rsid w:val="002A046F"/>
    <w:rsid w:val="002A10AC"/>
    <w:rsid w:val="002A149E"/>
    <w:rsid w:val="002A1B14"/>
    <w:rsid w:val="002A3098"/>
    <w:rsid w:val="002A52D2"/>
    <w:rsid w:val="002A5771"/>
    <w:rsid w:val="002A62F3"/>
    <w:rsid w:val="002B016D"/>
    <w:rsid w:val="002B13A8"/>
    <w:rsid w:val="002B354B"/>
    <w:rsid w:val="002B591E"/>
    <w:rsid w:val="002B68FF"/>
    <w:rsid w:val="002C0BCB"/>
    <w:rsid w:val="002C0FD6"/>
    <w:rsid w:val="002C2264"/>
    <w:rsid w:val="002C3865"/>
    <w:rsid w:val="002C76BF"/>
    <w:rsid w:val="002D006C"/>
    <w:rsid w:val="002D1B1E"/>
    <w:rsid w:val="002D2724"/>
    <w:rsid w:val="002D3038"/>
    <w:rsid w:val="002D30D5"/>
    <w:rsid w:val="002D3DBC"/>
    <w:rsid w:val="002D478C"/>
    <w:rsid w:val="002D4C7D"/>
    <w:rsid w:val="002D4CC3"/>
    <w:rsid w:val="002D4FE3"/>
    <w:rsid w:val="002D537E"/>
    <w:rsid w:val="002D679D"/>
    <w:rsid w:val="002D71F5"/>
    <w:rsid w:val="002D767A"/>
    <w:rsid w:val="002D78E3"/>
    <w:rsid w:val="002D7BB6"/>
    <w:rsid w:val="002E0966"/>
    <w:rsid w:val="002E1C11"/>
    <w:rsid w:val="002E35E2"/>
    <w:rsid w:val="002E3BAE"/>
    <w:rsid w:val="002E6C99"/>
    <w:rsid w:val="002E6E8E"/>
    <w:rsid w:val="002F07C7"/>
    <w:rsid w:val="002F1816"/>
    <w:rsid w:val="002F4101"/>
    <w:rsid w:val="002F477E"/>
    <w:rsid w:val="002F4D67"/>
    <w:rsid w:val="002F5DDA"/>
    <w:rsid w:val="002F6862"/>
    <w:rsid w:val="002F7056"/>
    <w:rsid w:val="002F7F82"/>
    <w:rsid w:val="00300437"/>
    <w:rsid w:val="003008BF"/>
    <w:rsid w:val="00301D8C"/>
    <w:rsid w:val="00302784"/>
    <w:rsid w:val="0030334D"/>
    <w:rsid w:val="00305FF4"/>
    <w:rsid w:val="00307FDE"/>
    <w:rsid w:val="0031017D"/>
    <w:rsid w:val="00310223"/>
    <w:rsid w:val="00310652"/>
    <w:rsid w:val="00311F81"/>
    <w:rsid w:val="00312B4E"/>
    <w:rsid w:val="00312B86"/>
    <w:rsid w:val="00313432"/>
    <w:rsid w:val="00313820"/>
    <w:rsid w:val="00315E84"/>
    <w:rsid w:val="00316823"/>
    <w:rsid w:val="00316B4C"/>
    <w:rsid w:val="00320430"/>
    <w:rsid w:val="00321A48"/>
    <w:rsid w:val="003224EC"/>
    <w:rsid w:val="00323F51"/>
    <w:rsid w:val="003267D0"/>
    <w:rsid w:val="00331C3A"/>
    <w:rsid w:val="00332EF1"/>
    <w:rsid w:val="00333EDB"/>
    <w:rsid w:val="00340D0A"/>
    <w:rsid w:val="00342648"/>
    <w:rsid w:val="00342726"/>
    <w:rsid w:val="003429FD"/>
    <w:rsid w:val="00342DB6"/>
    <w:rsid w:val="003431D9"/>
    <w:rsid w:val="00344258"/>
    <w:rsid w:val="00345AC8"/>
    <w:rsid w:val="00347533"/>
    <w:rsid w:val="003476F1"/>
    <w:rsid w:val="00352736"/>
    <w:rsid w:val="00353A40"/>
    <w:rsid w:val="00354208"/>
    <w:rsid w:val="00354BD6"/>
    <w:rsid w:val="003640EC"/>
    <w:rsid w:val="00365183"/>
    <w:rsid w:val="003667F7"/>
    <w:rsid w:val="00373A88"/>
    <w:rsid w:val="00374835"/>
    <w:rsid w:val="00374D40"/>
    <w:rsid w:val="00380243"/>
    <w:rsid w:val="00380912"/>
    <w:rsid w:val="003811EE"/>
    <w:rsid w:val="003816D7"/>
    <w:rsid w:val="00381B9B"/>
    <w:rsid w:val="00382451"/>
    <w:rsid w:val="003829C5"/>
    <w:rsid w:val="00384059"/>
    <w:rsid w:val="003846EB"/>
    <w:rsid w:val="0038472F"/>
    <w:rsid w:val="003858A4"/>
    <w:rsid w:val="00385CAB"/>
    <w:rsid w:val="003869F8"/>
    <w:rsid w:val="00386FEC"/>
    <w:rsid w:val="0039048B"/>
    <w:rsid w:val="00394688"/>
    <w:rsid w:val="00395245"/>
    <w:rsid w:val="0039530C"/>
    <w:rsid w:val="00396C1C"/>
    <w:rsid w:val="003A0D28"/>
    <w:rsid w:val="003A473A"/>
    <w:rsid w:val="003A4907"/>
    <w:rsid w:val="003A5E8C"/>
    <w:rsid w:val="003A6C4A"/>
    <w:rsid w:val="003A7912"/>
    <w:rsid w:val="003A7FAE"/>
    <w:rsid w:val="003B04C8"/>
    <w:rsid w:val="003B0823"/>
    <w:rsid w:val="003B0C5F"/>
    <w:rsid w:val="003C2A5E"/>
    <w:rsid w:val="003C5FB4"/>
    <w:rsid w:val="003D06DA"/>
    <w:rsid w:val="003D1EF6"/>
    <w:rsid w:val="003D31C9"/>
    <w:rsid w:val="003D35DA"/>
    <w:rsid w:val="003D5211"/>
    <w:rsid w:val="003D5CEC"/>
    <w:rsid w:val="003E0826"/>
    <w:rsid w:val="003E1971"/>
    <w:rsid w:val="003E1E4B"/>
    <w:rsid w:val="003E216D"/>
    <w:rsid w:val="003E226C"/>
    <w:rsid w:val="003E3C9B"/>
    <w:rsid w:val="003E6B49"/>
    <w:rsid w:val="003F0C47"/>
    <w:rsid w:val="003F226A"/>
    <w:rsid w:val="003F2D73"/>
    <w:rsid w:val="003F3292"/>
    <w:rsid w:val="003F5231"/>
    <w:rsid w:val="003F68A5"/>
    <w:rsid w:val="00401A63"/>
    <w:rsid w:val="004031EC"/>
    <w:rsid w:val="00403578"/>
    <w:rsid w:val="004039FC"/>
    <w:rsid w:val="00403ABF"/>
    <w:rsid w:val="0040620A"/>
    <w:rsid w:val="0040773F"/>
    <w:rsid w:val="004118E2"/>
    <w:rsid w:val="00412C49"/>
    <w:rsid w:val="00412C8E"/>
    <w:rsid w:val="00412F22"/>
    <w:rsid w:val="004136B7"/>
    <w:rsid w:val="00413726"/>
    <w:rsid w:val="00414237"/>
    <w:rsid w:val="00416243"/>
    <w:rsid w:val="0041653B"/>
    <w:rsid w:val="004169E1"/>
    <w:rsid w:val="004179B1"/>
    <w:rsid w:val="00421688"/>
    <w:rsid w:val="00421E23"/>
    <w:rsid w:val="00422400"/>
    <w:rsid w:val="00424718"/>
    <w:rsid w:val="004253D4"/>
    <w:rsid w:val="004266D7"/>
    <w:rsid w:val="00427B59"/>
    <w:rsid w:val="00431064"/>
    <w:rsid w:val="0043127F"/>
    <w:rsid w:val="00431307"/>
    <w:rsid w:val="00431A71"/>
    <w:rsid w:val="004334A3"/>
    <w:rsid w:val="004400B2"/>
    <w:rsid w:val="0044098B"/>
    <w:rsid w:val="00441A9F"/>
    <w:rsid w:val="004422BA"/>
    <w:rsid w:val="004439E9"/>
    <w:rsid w:val="004440A5"/>
    <w:rsid w:val="004443B0"/>
    <w:rsid w:val="004476D2"/>
    <w:rsid w:val="00447A80"/>
    <w:rsid w:val="00447CF0"/>
    <w:rsid w:val="00447D5C"/>
    <w:rsid w:val="00454C7A"/>
    <w:rsid w:val="00455411"/>
    <w:rsid w:val="00455903"/>
    <w:rsid w:val="004653CF"/>
    <w:rsid w:val="004677F4"/>
    <w:rsid w:val="00467FC0"/>
    <w:rsid w:val="004704E7"/>
    <w:rsid w:val="00476A1E"/>
    <w:rsid w:val="00480B68"/>
    <w:rsid w:val="00481C40"/>
    <w:rsid w:val="00481E7B"/>
    <w:rsid w:val="00482214"/>
    <w:rsid w:val="004830C0"/>
    <w:rsid w:val="004838DF"/>
    <w:rsid w:val="00483AB5"/>
    <w:rsid w:val="004900FA"/>
    <w:rsid w:val="00491395"/>
    <w:rsid w:val="00492813"/>
    <w:rsid w:val="00493928"/>
    <w:rsid w:val="00497C58"/>
    <w:rsid w:val="00497FF9"/>
    <w:rsid w:val="004A0299"/>
    <w:rsid w:val="004A0D5B"/>
    <w:rsid w:val="004A14EB"/>
    <w:rsid w:val="004A21A1"/>
    <w:rsid w:val="004A3740"/>
    <w:rsid w:val="004A3D91"/>
    <w:rsid w:val="004A64B5"/>
    <w:rsid w:val="004A7486"/>
    <w:rsid w:val="004B0139"/>
    <w:rsid w:val="004B15C7"/>
    <w:rsid w:val="004B278B"/>
    <w:rsid w:val="004B2DC8"/>
    <w:rsid w:val="004B319A"/>
    <w:rsid w:val="004B451B"/>
    <w:rsid w:val="004B5522"/>
    <w:rsid w:val="004B554C"/>
    <w:rsid w:val="004B5635"/>
    <w:rsid w:val="004B63EF"/>
    <w:rsid w:val="004B660D"/>
    <w:rsid w:val="004B67E0"/>
    <w:rsid w:val="004B6985"/>
    <w:rsid w:val="004B6D9D"/>
    <w:rsid w:val="004C0AE5"/>
    <w:rsid w:val="004C1A84"/>
    <w:rsid w:val="004C3509"/>
    <w:rsid w:val="004C4D59"/>
    <w:rsid w:val="004C4F61"/>
    <w:rsid w:val="004C761D"/>
    <w:rsid w:val="004D09C6"/>
    <w:rsid w:val="004D334A"/>
    <w:rsid w:val="004D4051"/>
    <w:rsid w:val="004D41F0"/>
    <w:rsid w:val="004D431B"/>
    <w:rsid w:val="004D5818"/>
    <w:rsid w:val="004D5F24"/>
    <w:rsid w:val="004D6DFD"/>
    <w:rsid w:val="004E2F96"/>
    <w:rsid w:val="004E38E9"/>
    <w:rsid w:val="004E5D76"/>
    <w:rsid w:val="004E7C6B"/>
    <w:rsid w:val="004E7D03"/>
    <w:rsid w:val="004F0670"/>
    <w:rsid w:val="004F1B97"/>
    <w:rsid w:val="004F2DC3"/>
    <w:rsid w:val="004F370D"/>
    <w:rsid w:val="004F7901"/>
    <w:rsid w:val="00501632"/>
    <w:rsid w:val="00501F8D"/>
    <w:rsid w:val="0050266A"/>
    <w:rsid w:val="00504A25"/>
    <w:rsid w:val="00505399"/>
    <w:rsid w:val="00506DDE"/>
    <w:rsid w:val="00512A3E"/>
    <w:rsid w:val="005133F6"/>
    <w:rsid w:val="005139A7"/>
    <w:rsid w:val="00513D74"/>
    <w:rsid w:val="00514318"/>
    <w:rsid w:val="005150CC"/>
    <w:rsid w:val="0052137C"/>
    <w:rsid w:val="00525925"/>
    <w:rsid w:val="005271C1"/>
    <w:rsid w:val="005304D0"/>
    <w:rsid w:val="005323AF"/>
    <w:rsid w:val="00532D67"/>
    <w:rsid w:val="00536858"/>
    <w:rsid w:val="00536CD3"/>
    <w:rsid w:val="00536E82"/>
    <w:rsid w:val="00541F01"/>
    <w:rsid w:val="00542133"/>
    <w:rsid w:val="00542B59"/>
    <w:rsid w:val="0054542E"/>
    <w:rsid w:val="00546244"/>
    <w:rsid w:val="005472B5"/>
    <w:rsid w:val="00547457"/>
    <w:rsid w:val="00547D21"/>
    <w:rsid w:val="00550B78"/>
    <w:rsid w:val="00550BD1"/>
    <w:rsid w:val="00551F7E"/>
    <w:rsid w:val="005531C4"/>
    <w:rsid w:val="00554E10"/>
    <w:rsid w:val="0055615E"/>
    <w:rsid w:val="005577D9"/>
    <w:rsid w:val="005608BD"/>
    <w:rsid w:val="00561255"/>
    <w:rsid w:val="00566095"/>
    <w:rsid w:val="00566FE8"/>
    <w:rsid w:val="0056738C"/>
    <w:rsid w:val="005706DF"/>
    <w:rsid w:val="00570FA0"/>
    <w:rsid w:val="00571376"/>
    <w:rsid w:val="00571770"/>
    <w:rsid w:val="00571F85"/>
    <w:rsid w:val="0057263A"/>
    <w:rsid w:val="005742BD"/>
    <w:rsid w:val="00577680"/>
    <w:rsid w:val="005777C6"/>
    <w:rsid w:val="00581A8B"/>
    <w:rsid w:val="00583929"/>
    <w:rsid w:val="00585009"/>
    <w:rsid w:val="00590C4A"/>
    <w:rsid w:val="005911DD"/>
    <w:rsid w:val="00592D3B"/>
    <w:rsid w:val="005937EB"/>
    <w:rsid w:val="00595747"/>
    <w:rsid w:val="00596BE3"/>
    <w:rsid w:val="00596E91"/>
    <w:rsid w:val="005A02FE"/>
    <w:rsid w:val="005A1359"/>
    <w:rsid w:val="005A5375"/>
    <w:rsid w:val="005A58F4"/>
    <w:rsid w:val="005A6880"/>
    <w:rsid w:val="005A6CEA"/>
    <w:rsid w:val="005A6DB5"/>
    <w:rsid w:val="005A7113"/>
    <w:rsid w:val="005B03CA"/>
    <w:rsid w:val="005B30ED"/>
    <w:rsid w:val="005B3D44"/>
    <w:rsid w:val="005C234C"/>
    <w:rsid w:val="005C32B8"/>
    <w:rsid w:val="005C389B"/>
    <w:rsid w:val="005C4237"/>
    <w:rsid w:val="005C54CF"/>
    <w:rsid w:val="005C73BB"/>
    <w:rsid w:val="005C7885"/>
    <w:rsid w:val="005C7C47"/>
    <w:rsid w:val="005D080F"/>
    <w:rsid w:val="005D0CA3"/>
    <w:rsid w:val="005D1E72"/>
    <w:rsid w:val="005D2402"/>
    <w:rsid w:val="005D2720"/>
    <w:rsid w:val="005D2B31"/>
    <w:rsid w:val="005D2E0B"/>
    <w:rsid w:val="005E1387"/>
    <w:rsid w:val="005E4B4E"/>
    <w:rsid w:val="005E64B3"/>
    <w:rsid w:val="005E6E86"/>
    <w:rsid w:val="005F0EFC"/>
    <w:rsid w:val="005F1C4D"/>
    <w:rsid w:val="005F3ABE"/>
    <w:rsid w:val="005F4825"/>
    <w:rsid w:val="005F5C06"/>
    <w:rsid w:val="0060397A"/>
    <w:rsid w:val="00603F10"/>
    <w:rsid w:val="00604999"/>
    <w:rsid w:val="00604C62"/>
    <w:rsid w:val="00604FBC"/>
    <w:rsid w:val="00605C68"/>
    <w:rsid w:val="00610584"/>
    <w:rsid w:val="00611B81"/>
    <w:rsid w:val="00613277"/>
    <w:rsid w:val="00614BB5"/>
    <w:rsid w:val="00614E6D"/>
    <w:rsid w:val="00616DAF"/>
    <w:rsid w:val="00617F01"/>
    <w:rsid w:val="00620960"/>
    <w:rsid w:val="00621BE8"/>
    <w:rsid w:val="00622068"/>
    <w:rsid w:val="006226CF"/>
    <w:rsid w:val="00623F1C"/>
    <w:rsid w:val="00624557"/>
    <w:rsid w:val="00624FB2"/>
    <w:rsid w:val="00625BD9"/>
    <w:rsid w:val="00625C57"/>
    <w:rsid w:val="00627626"/>
    <w:rsid w:val="0063321C"/>
    <w:rsid w:val="006353A0"/>
    <w:rsid w:val="006405C9"/>
    <w:rsid w:val="00642D1D"/>
    <w:rsid w:val="006444B9"/>
    <w:rsid w:val="00644503"/>
    <w:rsid w:val="00651792"/>
    <w:rsid w:val="0065305C"/>
    <w:rsid w:val="00653196"/>
    <w:rsid w:val="00654FD3"/>
    <w:rsid w:val="00655A2E"/>
    <w:rsid w:val="00657847"/>
    <w:rsid w:val="00660AF0"/>
    <w:rsid w:val="0066160E"/>
    <w:rsid w:val="006624F8"/>
    <w:rsid w:val="00670394"/>
    <w:rsid w:val="00673B36"/>
    <w:rsid w:val="00674220"/>
    <w:rsid w:val="0067472C"/>
    <w:rsid w:val="00676D31"/>
    <w:rsid w:val="00681455"/>
    <w:rsid w:val="00683AD5"/>
    <w:rsid w:val="00683F2F"/>
    <w:rsid w:val="00684808"/>
    <w:rsid w:val="0068495C"/>
    <w:rsid w:val="00684FE5"/>
    <w:rsid w:val="006854B4"/>
    <w:rsid w:val="00687586"/>
    <w:rsid w:val="00690286"/>
    <w:rsid w:val="00692352"/>
    <w:rsid w:val="00697B05"/>
    <w:rsid w:val="006A0FE0"/>
    <w:rsid w:val="006A4BC5"/>
    <w:rsid w:val="006A638B"/>
    <w:rsid w:val="006A643D"/>
    <w:rsid w:val="006B04D3"/>
    <w:rsid w:val="006B2F9B"/>
    <w:rsid w:val="006B3C48"/>
    <w:rsid w:val="006B4A4B"/>
    <w:rsid w:val="006B4C6C"/>
    <w:rsid w:val="006B73E4"/>
    <w:rsid w:val="006B7460"/>
    <w:rsid w:val="006C273D"/>
    <w:rsid w:val="006C2C7B"/>
    <w:rsid w:val="006C312D"/>
    <w:rsid w:val="006D0121"/>
    <w:rsid w:val="006D388F"/>
    <w:rsid w:val="006D4262"/>
    <w:rsid w:val="006D7E5A"/>
    <w:rsid w:val="006E2C69"/>
    <w:rsid w:val="006E2C6C"/>
    <w:rsid w:val="006E335E"/>
    <w:rsid w:val="006E3C36"/>
    <w:rsid w:val="006E664F"/>
    <w:rsid w:val="006F43C0"/>
    <w:rsid w:val="006F58E3"/>
    <w:rsid w:val="006F700F"/>
    <w:rsid w:val="006F7294"/>
    <w:rsid w:val="007003FC"/>
    <w:rsid w:val="00701715"/>
    <w:rsid w:val="00702B12"/>
    <w:rsid w:val="00703B24"/>
    <w:rsid w:val="00704482"/>
    <w:rsid w:val="007044B9"/>
    <w:rsid w:val="00712FE9"/>
    <w:rsid w:val="00717BD7"/>
    <w:rsid w:val="00721445"/>
    <w:rsid w:val="007251BD"/>
    <w:rsid w:val="00725A1C"/>
    <w:rsid w:val="007262F2"/>
    <w:rsid w:val="0072672A"/>
    <w:rsid w:val="00731044"/>
    <w:rsid w:val="00731664"/>
    <w:rsid w:val="00732A7E"/>
    <w:rsid w:val="00733580"/>
    <w:rsid w:val="00737D9B"/>
    <w:rsid w:val="00740127"/>
    <w:rsid w:val="007418A6"/>
    <w:rsid w:val="00741955"/>
    <w:rsid w:val="00741B68"/>
    <w:rsid w:val="0074208D"/>
    <w:rsid w:val="00743FE2"/>
    <w:rsid w:val="00746B52"/>
    <w:rsid w:val="00750B29"/>
    <w:rsid w:val="00752101"/>
    <w:rsid w:val="007529D2"/>
    <w:rsid w:val="007560D1"/>
    <w:rsid w:val="0075611A"/>
    <w:rsid w:val="00756E5E"/>
    <w:rsid w:val="00763DAC"/>
    <w:rsid w:val="007649EF"/>
    <w:rsid w:val="00770AEF"/>
    <w:rsid w:val="00771E4D"/>
    <w:rsid w:val="0077249E"/>
    <w:rsid w:val="00774577"/>
    <w:rsid w:val="00774D31"/>
    <w:rsid w:val="00775282"/>
    <w:rsid w:val="007803D7"/>
    <w:rsid w:val="00781F17"/>
    <w:rsid w:val="007838DA"/>
    <w:rsid w:val="00783E36"/>
    <w:rsid w:val="007846E6"/>
    <w:rsid w:val="00786494"/>
    <w:rsid w:val="00792FC6"/>
    <w:rsid w:val="00793688"/>
    <w:rsid w:val="00793C09"/>
    <w:rsid w:val="007940FD"/>
    <w:rsid w:val="00795161"/>
    <w:rsid w:val="00797347"/>
    <w:rsid w:val="00797EF2"/>
    <w:rsid w:val="007A045F"/>
    <w:rsid w:val="007A1266"/>
    <w:rsid w:val="007A12FF"/>
    <w:rsid w:val="007A3770"/>
    <w:rsid w:val="007A4450"/>
    <w:rsid w:val="007A540B"/>
    <w:rsid w:val="007A69D0"/>
    <w:rsid w:val="007B17A6"/>
    <w:rsid w:val="007B1CEF"/>
    <w:rsid w:val="007B5856"/>
    <w:rsid w:val="007C066C"/>
    <w:rsid w:val="007C0EE8"/>
    <w:rsid w:val="007C2048"/>
    <w:rsid w:val="007C4A31"/>
    <w:rsid w:val="007C569E"/>
    <w:rsid w:val="007C742B"/>
    <w:rsid w:val="007D07B8"/>
    <w:rsid w:val="007D0FE8"/>
    <w:rsid w:val="007D1D39"/>
    <w:rsid w:val="007D4E6E"/>
    <w:rsid w:val="007D5E41"/>
    <w:rsid w:val="007D6047"/>
    <w:rsid w:val="007E1B81"/>
    <w:rsid w:val="007E221C"/>
    <w:rsid w:val="007E58FD"/>
    <w:rsid w:val="007E6ECC"/>
    <w:rsid w:val="007E7B67"/>
    <w:rsid w:val="007F1913"/>
    <w:rsid w:val="007F2814"/>
    <w:rsid w:val="007F339A"/>
    <w:rsid w:val="007F39CA"/>
    <w:rsid w:val="007F57A1"/>
    <w:rsid w:val="008025D6"/>
    <w:rsid w:val="00803137"/>
    <w:rsid w:val="0080612E"/>
    <w:rsid w:val="008064A7"/>
    <w:rsid w:val="008068B4"/>
    <w:rsid w:val="0081059B"/>
    <w:rsid w:val="00810D57"/>
    <w:rsid w:val="00810F71"/>
    <w:rsid w:val="00811271"/>
    <w:rsid w:val="008164D0"/>
    <w:rsid w:val="0081766C"/>
    <w:rsid w:val="0082026E"/>
    <w:rsid w:val="00820BAB"/>
    <w:rsid w:val="00824040"/>
    <w:rsid w:val="00824440"/>
    <w:rsid w:val="00827A9C"/>
    <w:rsid w:val="00832DE8"/>
    <w:rsid w:val="008333FF"/>
    <w:rsid w:val="00835040"/>
    <w:rsid w:val="008364AA"/>
    <w:rsid w:val="008368B4"/>
    <w:rsid w:val="00837B81"/>
    <w:rsid w:val="0084361F"/>
    <w:rsid w:val="00843D8B"/>
    <w:rsid w:val="008443DC"/>
    <w:rsid w:val="00847DDD"/>
    <w:rsid w:val="008503FA"/>
    <w:rsid w:val="00850618"/>
    <w:rsid w:val="00852731"/>
    <w:rsid w:val="008530BD"/>
    <w:rsid w:val="0085558A"/>
    <w:rsid w:val="00857136"/>
    <w:rsid w:val="008578F9"/>
    <w:rsid w:val="00861103"/>
    <w:rsid w:val="00863253"/>
    <w:rsid w:val="008633FC"/>
    <w:rsid w:val="00863771"/>
    <w:rsid w:val="008638CF"/>
    <w:rsid w:val="00866C5A"/>
    <w:rsid w:val="008733C0"/>
    <w:rsid w:val="00875585"/>
    <w:rsid w:val="0087695C"/>
    <w:rsid w:val="0087744D"/>
    <w:rsid w:val="008801DB"/>
    <w:rsid w:val="0088042D"/>
    <w:rsid w:val="008805BB"/>
    <w:rsid w:val="008819EB"/>
    <w:rsid w:val="00881DCE"/>
    <w:rsid w:val="0088267F"/>
    <w:rsid w:val="0088446E"/>
    <w:rsid w:val="00887957"/>
    <w:rsid w:val="008901CA"/>
    <w:rsid w:val="0089124C"/>
    <w:rsid w:val="00892CE5"/>
    <w:rsid w:val="00894A89"/>
    <w:rsid w:val="00894F1A"/>
    <w:rsid w:val="00895083"/>
    <w:rsid w:val="00895EFE"/>
    <w:rsid w:val="008965ED"/>
    <w:rsid w:val="00897E2A"/>
    <w:rsid w:val="008A1B38"/>
    <w:rsid w:val="008A430A"/>
    <w:rsid w:val="008A4761"/>
    <w:rsid w:val="008A5286"/>
    <w:rsid w:val="008A73EF"/>
    <w:rsid w:val="008B0867"/>
    <w:rsid w:val="008B0FE8"/>
    <w:rsid w:val="008B4375"/>
    <w:rsid w:val="008B6D18"/>
    <w:rsid w:val="008C26C0"/>
    <w:rsid w:val="008C4559"/>
    <w:rsid w:val="008C6F8A"/>
    <w:rsid w:val="008C7BD8"/>
    <w:rsid w:val="008D6710"/>
    <w:rsid w:val="008D68DC"/>
    <w:rsid w:val="008E044A"/>
    <w:rsid w:val="008E051A"/>
    <w:rsid w:val="008E058A"/>
    <w:rsid w:val="008E52B3"/>
    <w:rsid w:val="008E6E68"/>
    <w:rsid w:val="008F1993"/>
    <w:rsid w:val="008F1EEF"/>
    <w:rsid w:val="008F22F4"/>
    <w:rsid w:val="008F2533"/>
    <w:rsid w:val="008F588C"/>
    <w:rsid w:val="008F7A2C"/>
    <w:rsid w:val="00900AEC"/>
    <w:rsid w:val="00901593"/>
    <w:rsid w:val="00901635"/>
    <w:rsid w:val="009038B7"/>
    <w:rsid w:val="00904F43"/>
    <w:rsid w:val="0091045F"/>
    <w:rsid w:val="00920402"/>
    <w:rsid w:val="00922C6A"/>
    <w:rsid w:val="009244F3"/>
    <w:rsid w:val="00931D72"/>
    <w:rsid w:val="00932E54"/>
    <w:rsid w:val="00933885"/>
    <w:rsid w:val="00935D8B"/>
    <w:rsid w:val="009404BA"/>
    <w:rsid w:val="009415B3"/>
    <w:rsid w:val="00945188"/>
    <w:rsid w:val="0094726B"/>
    <w:rsid w:val="00947FAE"/>
    <w:rsid w:val="009513D1"/>
    <w:rsid w:val="00951415"/>
    <w:rsid w:val="0095333D"/>
    <w:rsid w:val="00953ACC"/>
    <w:rsid w:val="00953DAD"/>
    <w:rsid w:val="00954A06"/>
    <w:rsid w:val="00954ED4"/>
    <w:rsid w:val="00956E2D"/>
    <w:rsid w:val="00960B94"/>
    <w:rsid w:val="009615F3"/>
    <w:rsid w:val="009619A8"/>
    <w:rsid w:val="0096347B"/>
    <w:rsid w:val="0096403F"/>
    <w:rsid w:val="00965452"/>
    <w:rsid w:val="00965589"/>
    <w:rsid w:val="0096575C"/>
    <w:rsid w:val="0096670C"/>
    <w:rsid w:val="00967E4F"/>
    <w:rsid w:val="00970F79"/>
    <w:rsid w:val="009710A0"/>
    <w:rsid w:val="0097405E"/>
    <w:rsid w:val="0097483D"/>
    <w:rsid w:val="00975DBB"/>
    <w:rsid w:val="0097676E"/>
    <w:rsid w:val="00977017"/>
    <w:rsid w:val="00980770"/>
    <w:rsid w:val="009817A2"/>
    <w:rsid w:val="009842DA"/>
    <w:rsid w:val="00990DD8"/>
    <w:rsid w:val="0099103B"/>
    <w:rsid w:val="009A13EE"/>
    <w:rsid w:val="009B187C"/>
    <w:rsid w:val="009B1912"/>
    <w:rsid w:val="009B309E"/>
    <w:rsid w:val="009B38EB"/>
    <w:rsid w:val="009B41F7"/>
    <w:rsid w:val="009B577C"/>
    <w:rsid w:val="009B63BC"/>
    <w:rsid w:val="009C2487"/>
    <w:rsid w:val="009C2AFB"/>
    <w:rsid w:val="009C3193"/>
    <w:rsid w:val="009C3EAC"/>
    <w:rsid w:val="009C56A3"/>
    <w:rsid w:val="009C5EA5"/>
    <w:rsid w:val="009C6A2A"/>
    <w:rsid w:val="009C6D7C"/>
    <w:rsid w:val="009D1DD1"/>
    <w:rsid w:val="009D2EE5"/>
    <w:rsid w:val="009D3396"/>
    <w:rsid w:val="009E1029"/>
    <w:rsid w:val="009E2E3B"/>
    <w:rsid w:val="009E39E3"/>
    <w:rsid w:val="009E6BD0"/>
    <w:rsid w:val="009E74A2"/>
    <w:rsid w:val="009E75BF"/>
    <w:rsid w:val="009F145D"/>
    <w:rsid w:val="009F1DDA"/>
    <w:rsid w:val="009F371A"/>
    <w:rsid w:val="009F4170"/>
    <w:rsid w:val="009F7761"/>
    <w:rsid w:val="009F7D5A"/>
    <w:rsid w:val="00A00C7A"/>
    <w:rsid w:val="00A025FC"/>
    <w:rsid w:val="00A02914"/>
    <w:rsid w:val="00A03389"/>
    <w:rsid w:val="00A04EC1"/>
    <w:rsid w:val="00A05439"/>
    <w:rsid w:val="00A0674F"/>
    <w:rsid w:val="00A0746D"/>
    <w:rsid w:val="00A103FC"/>
    <w:rsid w:val="00A12845"/>
    <w:rsid w:val="00A12D1F"/>
    <w:rsid w:val="00A12D91"/>
    <w:rsid w:val="00A13AA4"/>
    <w:rsid w:val="00A13E69"/>
    <w:rsid w:val="00A14AF7"/>
    <w:rsid w:val="00A17D52"/>
    <w:rsid w:val="00A2129F"/>
    <w:rsid w:val="00A22B73"/>
    <w:rsid w:val="00A22F86"/>
    <w:rsid w:val="00A2508F"/>
    <w:rsid w:val="00A251B5"/>
    <w:rsid w:val="00A25A25"/>
    <w:rsid w:val="00A27535"/>
    <w:rsid w:val="00A319BA"/>
    <w:rsid w:val="00A34F2E"/>
    <w:rsid w:val="00A40C5D"/>
    <w:rsid w:val="00A40FFF"/>
    <w:rsid w:val="00A41D32"/>
    <w:rsid w:val="00A42B5D"/>
    <w:rsid w:val="00A44D5E"/>
    <w:rsid w:val="00A44F79"/>
    <w:rsid w:val="00A450F0"/>
    <w:rsid w:val="00A45104"/>
    <w:rsid w:val="00A531FD"/>
    <w:rsid w:val="00A55FBF"/>
    <w:rsid w:val="00A60F87"/>
    <w:rsid w:val="00A616DA"/>
    <w:rsid w:val="00A61F7D"/>
    <w:rsid w:val="00A61FA7"/>
    <w:rsid w:val="00A63EF0"/>
    <w:rsid w:val="00A65061"/>
    <w:rsid w:val="00A674B8"/>
    <w:rsid w:val="00A7035B"/>
    <w:rsid w:val="00A71CA6"/>
    <w:rsid w:val="00A73B8A"/>
    <w:rsid w:val="00A768DC"/>
    <w:rsid w:val="00A81E6C"/>
    <w:rsid w:val="00A82EF7"/>
    <w:rsid w:val="00A84C03"/>
    <w:rsid w:val="00A854D4"/>
    <w:rsid w:val="00A91975"/>
    <w:rsid w:val="00A9205E"/>
    <w:rsid w:val="00A9487E"/>
    <w:rsid w:val="00A96599"/>
    <w:rsid w:val="00A96847"/>
    <w:rsid w:val="00A971DB"/>
    <w:rsid w:val="00A972D3"/>
    <w:rsid w:val="00AA0E19"/>
    <w:rsid w:val="00AA191F"/>
    <w:rsid w:val="00AA1D6F"/>
    <w:rsid w:val="00AA22F2"/>
    <w:rsid w:val="00AA2711"/>
    <w:rsid w:val="00AA795D"/>
    <w:rsid w:val="00AB1B9B"/>
    <w:rsid w:val="00AB2C86"/>
    <w:rsid w:val="00AB2ED4"/>
    <w:rsid w:val="00AB357C"/>
    <w:rsid w:val="00AB6135"/>
    <w:rsid w:val="00AB7652"/>
    <w:rsid w:val="00AC0103"/>
    <w:rsid w:val="00AC0EFF"/>
    <w:rsid w:val="00AC3D72"/>
    <w:rsid w:val="00AC4E10"/>
    <w:rsid w:val="00AC5090"/>
    <w:rsid w:val="00AC63F9"/>
    <w:rsid w:val="00AC708D"/>
    <w:rsid w:val="00AD022F"/>
    <w:rsid w:val="00AD14EE"/>
    <w:rsid w:val="00AD55D7"/>
    <w:rsid w:val="00AE07F6"/>
    <w:rsid w:val="00AE25E7"/>
    <w:rsid w:val="00AE3020"/>
    <w:rsid w:val="00AE6C10"/>
    <w:rsid w:val="00AE752E"/>
    <w:rsid w:val="00AF1424"/>
    <w:rsid w:val="00AF147B"/>
    <w:rsid w:val="00AF1D1E"/>
    <w:rsid w:val="00B0031E"/>
    <w:rsid w:val="00B02492"/>
    <w:rsid w:val="00B03396"/>
    <w:rsid w:val="00B04A8B"/>
    <w:rsid w:val="00B05D93"/>
    <w:rsid w:val="00B05FA1"/>
    <w:rsid w:val="00B063B8"/>
    <w:rsid w:val="00B12746"/>
    <w:rsid w:val="00B13723"/>
    <w:rsid w:val="00B13F58"/>
    <w:rsid w:val="00B15E33"/>
    <w:rsid w:val="00B15FDE"/>
    <w:rsid w:val="00B20EC7"/>
    <w:rsid w:val="00B2110F"/>
    <w:rsid w:val="00B2155D"/>
    <w:rsid w:val="00B23159"/>
    <w:rsid w:val="00B23B87"/>
    <w:rsid w:val="00B24CAC"/>
    <w:rsid w:val="00B27B4B"/>
    <w:rsid w:val="00B3081F"/>
    <w:rsid w:val="00B30926"/>
    <w:rsid w:val="00B31FCF"/>
    <w:rsid w:val="00B332D5"/>
    <w:rsid w:val="00B34073"/>
    <w:rsid w:val="00B36F67"/>
    <w:rsid w:val="00B376D1"/>
    <w:rsid w:val="00B37CCB"/>
    <w:rsid w:val="00B4020D"/>
    <w:rsid w:val="00B409D5"/>
    <w:rsid w:val="00B419D9"/>
    <w:rsid w:val="00B43951"/>
    <w:rsid w:val="00B443A6"/>
    <w:rsid w:val="00B454F7"/>
    <w:rsid w:val="00B50E7A"/>
    <w:rsid w:val="00B564F8"/>
    <w:rsid w:val="00B571CC"/>
    <w:rsid w:val="00B575A4"/>
    <w:rsid w:val="00B60DD4"/>
    <w:rsid w:val="00B62B96"/>
    <w:rsid w:val="00B64DCA"/>
    <w:rsid w:val="00B6570F"/>
    <w:rsid w:val="00B66CC7"/>
    <w:rsid w:val="00B6795F"/>
    <w:rsid w:val="00B71A46"/>
    <w:rsid w:val="00B765BE"/>
    <w:rsid w:val="00B82296"/>
    <w:rsid w:val="00B8241A"/>
    <w:rsid w:val="00B87A2F"/>
    <w:rsid w:val="00B96E13"/>
    <w:rsid w:val="00BA045D"/>
    <w:rsid w:val="00BA0F92"/>
    <w:rsid w:val="00BA1871"/>
    <w:rsid w:val="00BA1FAF"/>
    <w:rsid w:val="00BA2098"/>
    <w:rsid w:val="00BA27A0"/>
    <w:rsid w:val="00BA27B3"/>
    <w:rsid w:val="00BA295C"/>
    <w:rsid w:val="00BA497F"/>
    <w:rsid w:val="00BA66DB"/>
    <w:rsid w:val="00BA67CA"/>
    <w:rsid w:val="00BA6F96"/>
    <w:rsid w:val="00BB166C"/>
    <w:rsid w:val="00BB1931"/>
    <w:rsid w:val="00BB3555"/>
    <w:rsid w:val="00BB488B"/>
    <w:rsid w:val="00BB55E2"/>
    <w:rsid w:val="00BC106E"/>
    <w:rsid w:val="00BC11C7"/>
    <w:rsid w:val="00BC1822"/>
    <w:rsid w:val="00BC1884"/>
    <w:rsid w:val="00BC306C"/>
    <w:rsid w:val="00BC5884"/>
    <w:rsid w:val="00BC6078"/>
    <w:rsid w:val="00BC6137"/>
    <w:rsid w:val="00BC7E4C"/>
    <w:rsid w:val="00BD2031"/>
    <w:rsid w:val="00BD29B2"/>
    <w:rsid w:val="00BD3901"/>
    <w:rsid w:val="00BD45C0"/>
    <w:rsid w:val="00BD61CD"/>
    <w:rsid w:val="00BD61F7"/>
    <w:rsid w:val="00BE010C"/>
    <w:rsid w:val="00BE093F"/>
    <w:rsid w:val="00BE2144"/>
    <w:rsid w:val="00BE2C70"/>
    <w:rsid w:val="00BE4B0D"/>
    <w:rsid w:val="00BE5697"/>
    <w:rsid w:val="00BE645E"/>
    <w:rsid w:val="00BE6FA6"/>
    <w:rsid w:val="00BE79AC"/>
    <w:rsid w:val="00BF0CFD"/>
    <w:rsid w:val="00BF2BF3"/>
    <w:rsid w:val="00BF53E3"/>
    <w:rsid w:val="00BF722D"/>
    <w:rsid w:val="00BF7334"/>
    <w:rsid w:val="00BF7815"/>
    <w:rsid w:val="00C0073E"/>
    <w:rsid w:val="00C01461"/>
    <w:rsid w:val="00C04135"/>
    <w:rsid w:val="00C06F2C"/>
    <w:rsid w:val="00C12116"/>
    <w:rsid w:val="00C134EC"/>
    <w:rsid w:val="00C15618"/>
    <w:rsid w:val="00C16737"/>
    <w:rsid w:val="00C177A6"/>
    <w:rsid w:val="00C21324"/>
    <w:rsid w:val="00C21E1A"/>
    <w:rsid w:val="00C228BF"/>
    <w:rsid w:val="00C240FB"/>
    <w:rsid w:val="00C247EF"/>
    <w:rsid w:val="00C2533B"/>
    <w:rsid w:val="00C276BA"/>
    <w:rsid w:val="00C30691"/>
    <w:rsid w:val="00C338B1"/>
    <w:rsid w:val="00C34342"/>
    <w:rsid w:val="00C37ACE"/>
    <w:rsid w:val="00C41384"/>
    <w:rsid w:val="00C42377"/>
    <w:rsid w:val="00C43275"/>
    <w:rsid w:val="00C446EF"/>
    <w:rsid w:val="00C468AE"/>
    <w:rsid w:val="00C50D11"/>
    <w:rsid w:val="00C51247"/>
    <w:rsid w:val="00C52611"/>
    <w:rsid w:val="00C52831"/>
    <w:rsid w:val="00C5462F"/>
    <w:rsid w:val="00C54B45"/>
    <w:rsid w:val="00C5502F"/>
    <w:rsid w:val="00C551DC"/>
    <w:rsid w:val="00C5530E"/>
    <w:rsid w:val="00C55313"/>
    <w:rsid w:val="00C56775"/>
    <w:rsid w:val="00C56776"/>
    <w:rsid w:val="00C571A8"/>
    <w:rsid w:val="00C60002"/>
    <w:rsid w:val="00C62AA0"/>
    <w:rsid w:val="00C656B4"/>
    <w:rsid w:val="00C65CE6"/>
    <w:rsid w:val="00C70761"/>
    <w:rsid w:val="00C70CED"/>
    <w:rsid w:val="00C72618"/>
    <w:rsid w:val="00C733DA"/>
    <w:rsid w:val="00C745B4"/>
    <w:rsid w:val="00C774B8"/>
    <w:rsid w:val="00C7755F"/>
    <w:rsid w:val="00C82538"/>
    <w:rsid w:val="00C8353C"/>
    <w:rsid w:val="00C842E2"/>
    <w:rsid w:val="00C85B78"/>
    <w:rsid w:val="00C86AD2"/>
    <w:rsid w:val="00C877C7"/>
    <w:rsid w:val="00C87805"/>
    <w:rsid w:val="00C9061B"/>
    <w:rsid w:val="00C93344"/>
    <w:rsid w:val="00C937BD"/>
    <w:rsid w:val="00C93C5A"/>
    <w:rsid w:val="00C94A58"/>
    <w:rsid w:val="00C96EE2"/>
    <w:rsid w:val="00C97F97"/>
    <w:rsid w:val="00CA1313"/>
    <w:rsid w:val="00CA267C"/>
    <w:rsid w:val="00CA2710"/>
    <w:rsid w:val="00CA2AA4"/>
    <w:rsid w:val="00CA2F21"/>
    <w:rsid w:val="00CA3D91"/>
    <w:rsid w:val="00CA49B1"/>
    <w:rsid w:val="00CB0BF5"/>
    <w:rsid w:val="00CB2389"/>
    <w:rsid w:val="00CB5AC6"/>
    <w:rsid w:val="00CB758B"/>
    <w:rsid w:val="00CC05D7"/>
    <w:rsid w:val="00CC2A60"/>
    <w:rsid w:val="00CC3861"/>
    <w:rsid w:val="00CC443C"/>
    <w:rsid w:val="00CC655F"/>
    <w:rsid w:val="00CC6579"/>
    <w:rsid w:val="00CD1E2A"/>
    <w:rsid w:val="00CD33FE"/>
    <w:rsid w:val="00CD3AED"/>
    <w:rsid w:val="00CD52B0"/>
    <w:rsid w:val="00CD77A1"/>
    <w:rsid w:val="00CF1288"/>
    <w:rsid w:val="00CF13B2"/>
    <w:rsid w:val="00CF1D58"/>
    <w:rsid w:val="00CF268B"/>
    <w:rsid w:val="00CF3B7F"/>
    <w:rsid w:val="00CF4FB9"/>
    <w:rsid w:val="00CF51C2"/>
    <w:rsid w:val="00D003E8"/>
    <w:rsid w:val="00D005B8"/>
    <w:rsid w:val="00D00972"/>
    <w:rsid w:val="00D0351D"/>
    <w:rsid w:val="00D035D9"/>
    <w:rsid w:val="00D03B5F"/>
    <w:rsid w:val="00D0415A"/>
    <w:rsid w:val="00D045A3"/>
    <w:rsid w:val="00D07E3C"/>
    <w:rsid w:val="00D12177"/>
    <w:rsid w:val="00D12644"/>
    <w:rsid w:val="00D14471"/>
    <w:rsid w:val="00D1574F"/>
    <w:rsid w:val="00D158C5"/>
    <w:rsid w:val="00D1648D"/>
    <w:rsid w:val="00D225DA"/>
    <w:rsid w:val="00D230A7"/>
    <w:rsid w:val="00D25212"/>
    <w:rsid w:val="00D26CB2"/>
    <w:rsid w:val="00D2705A"/>
    <w:rsid w:val="00D30C5B"/>
    <w:rsid w:val="00D30E8E"/>
    <w:rsid w:val="00D344C8"/>
    <w:rsid w:val="00D35060"/>
    <w:rsid w:val="00D353D0"/>
    <w:rsid w:val="00D37087"/>
    <w:rsid w:val="00D40D9E"/>
    <w:rsid w:val="00D42B49"/>
    <w:rsid w:val="00D430A9"/>
    <w:rsid w:val="00D44993"/>
    <w:rsid w:val="00D477BC"/>
    <w:rsid w:val="00D521E7"/>
    <w:rsid w:val="00D522AF"/>
    <w:rsid w:val="00D53863"/>
    <w:rsid w:val="00D5414A"/>
    <w:rsid w:val="00D565DF"/>
    <w:rsid w:val="00D57B4E"/>
    <w:rsid w:val="00D60179"/>
    <w:rsid w:val="00D61E6D"/>
    <w:rsid w:val="00D630D6"/>
    <w:rsid w:val="00D645CB"/>
    <w:rsid w:val="00D65BC7"/>
    <w:rsid w:val="00D66E7B"/>
    <w:rsid w:val="00D67AFF"/>
    <w:rsid w:val="00D70682"/>
    <w:rsid w:val="00D71108"/>
    <w:rsid w:val="00D72F4D"/>
    <w:rsid w:val="00D74261"/>
    <w:rsid w:val="00D75B05"/>
    <w:rsid w:val="00D764DC"/>
    <w:rsid w:val="00D82C60"/>
    <w:rsid w:val="00D8553B"/>
    <w:rsid w:val="00D9214C"/>
    <w:rsid w:val="00D9349F"/>
    <w:rsid w:val="00D97339"/>
    <w:rsid w:val="00DA00FD"/>
    <w:rsid w:val="00DA029B"/>
    <w:rsid w:val="00DA05B3"/>
    <w:rsid w:val="00DA3150"/>
    <w:rsid w:val="00DA5597"/>
    <w:rsid w:val="00DA59F0"/>
    <w:rsid w:val="00DA5E95"/>
    <w:rsid w:val="00DA74A3"/>
    <w:rsid w:val="00DB113D"/>
    <w:rsid w:val="00DB19E9"/>
    <w:rsid w:val="00DB1B7B"/>
    <w:rsid w:val="00DB3289"/>
    <w:rsid w:val="00DB5F5A"/>
    <w:rsid w:val="00DB73E1"/>
    <w:rsid w:val="00DC1F8D"/>
    <w:rsid w:val="00DC3D02"/>
    <w:rsid w:val="00DC62A1"/>
    <w:rsid w:val="00DC6538"/>
    <w:rsid w:val="00DC6ED0"/>
    <w:rsid w:val="00DC71B6"/>
    <w:rsid w:val="00DD0D9F"/>
    <w:rsid w:val="00DD4B05"/>
    <w:rsid w:val="00DD51FB"/>
    <w:rsid w:val="00DD7FC7"/>
    <w:rsid w:val="00DE321D"/>
    <w:rsid w:val="00DE52AE"/>
    <w:rsid w:val="00DF0BCE"/>
    <w:rsid w:val="00DF2C60"/>
    <w:rsid w:val="00DF32F1"/>
    <w:rsid w:val="00DF3E3A"/>
    <w:rsid w:val="00DF482A"/>
    <w:rsid w:val="00DF656B"/>
    <w:rsid w:val="00DF6665"/>
    <w:rsid w:val="00DF7670"/>
    <w:rsid w:val="00E02589"/>
    <w:rsid w:val="00E04FF3"/>
    <w:rsid w:val="00E07F2F"/>
    <w:rsid w:val="00E10428"/>
    <w:rsid w:val="00E10A41"/>
    <w:rsid w:val="00E129A6"/>
    <w:rsid w:val="00E135D8"/>
    <w:rsid w:val="00E139A8"/>
    <w:rsid w:val="00E16148"/>
    <w:rsid w:val="00E1673D"/>
    <w:rsid w:val="00E22177"/>
    <w:rsid w:val="00E24B64"/>
    <w:rsid w:val="00E37C5A"/>
    <w:rsid w:val="00E401B1"/>
    <w:rsid w:val="00E408B2"/>
    <w:rsid w:val="00E40D49"/>
    <w:rsid w:val="00E40F91"/>
    <w:rsid w:val="00E429FC"/>
    <w:rsid w:val="00E42FF9"/>
    <w:rsid w:val="00E43220"/>
    <w:rsid w:val="00E4497F"/>
    <w:rsid w:val="00E452CB"/>
    <w:rsid w:val="00E46785"/>
    <w:rsid w:val="00E47B3F"/>
    <w:rsid w:val="00E50D1B"/>
    <w:rsid w:val="00E51E9B"/>
    <w:rsid w:val="00E52751"/>
    <w:rsid w:val="00E53960"/>
    <w:rsid w:val="00E54DD6"/>
    <w:rsid w:val="00E626E6"/>
    <w:rsid w:val="00E627BB"/>
    <w:rsid w:val="00E62EDE"/>
    <w:rsid w:val="00E64B78"/>
    <w:rsid w:val="00E665BC"/>
    <w:rsid w:val="00E6755A"/>
    <w:rsid w:val="00E71762"/>
    <w:rsid w:val="00E719F5"/>
    <w:rsid w:val="00E7475F"/>
    <w:rsid w:val="00E747B6"/>
    <w:rsid w:val="00E7485D"/>
    <w:rsid w:val="00E754A2"/>
    <w:rsid w:val="00E757AC"/>
    <w:rsid w:val="00E75AE8"/>
    <w:rsid w:val="00E82E04"/>
    <w:rsid w:val="00E83E16"/>
    <w:rsid w:val="00E861C6"/>
    <w:rsid w:val="00E90014"/>
    <w:rsid w:val="00E92832"/>
    <w:rsid w:val="00E949DB"/>
    <w:rsid w:val="00EA0627"/>
    <w:rsid w:val="00EA14DF"/>
    <w:rsid w:val="00EA1C97"/>
    <w:rsid w:val="00EA3FE3"/>
    <w:rsid w:val="00EA44A4"/>
    <w:rsid w:val="00EA4A00"/>
    <w:rsid w:val="00EA5EF3"/>
    <w:rsid w:val="00EA6D53"/>
    <w:rsid w:val="00EA756A"/>
    <w:rsid w:val="00EA7601"/>
    <w:rsid w:val="00EA76F3"/>
    <w:rsid w:val="00EB02AB"/>
    <w:rsid w:val="00EB3CEC"/>
    <w:rsid w:val="00EB4C46"/>
    <w:rsid w:val="00EB56BD"/>
    <w:rsid w:val="00EB7683"/>
    <w:rsid w:val="00EC09EF"/>
    <w:rsid w:val="00EC0B58"/>
    <w:rsid w:val="00EC0DB0"/>
    <w:rsid w:val="00EC228E"/>
    <w:rsid w:val="00EC2BC3"/>
    <w:rsid w:val="00EC2EAA"/>
    <w:rsid w:val="00EC381C"/>
    <w:rsid w:val="00EC3C69"/>
    <w:rsid w:val="00EC6C37"/>
    <w:rsid w:val="00EC6D6A"/>
    <w:rsid w:val="00ED1800"/>
    <w:rsid w:val="00ED2116"/>
    <w:rsid w:val="00ED2AC8"/>
    <w:rsid w:val="00ED4043"/>
    <w:rsid w:val="00ED5728"/>
    <w:rsid w:val="00ED58C5"/>
    <w:rsid w:val="00ED5AF7"/>
    <w:rsid w:val="00ED69F0"/>
    <w:rsid w:val="00ED6E67"/>
    <w:rsid w:val="00ED7BD1"/>
    <w:rsid w:val="00ED7C08"/>
    <w:rsid w:val="00EE02D0"/>
    <w:rsid w:val="00EE3A1D"/>
    <w:rsid w:val="00EF246C"/>
    <w:rsid w:val="00F05E89"/>
    <w:rsid w:val="00F06FC0"/>
    <w:rsid w:val="00F07208"/>
    <w:rsid w:val="00F076A3"/>
    <w:rsid w:val="00F07CFE"/>
    <w:rsid w:val="00F11350"/>
    <w:rsid w:val="00F11FF2"/>
    <w:rsid w:val="00F12059"/>
    <w:rsid w:val="00F12B19"/>
    <w:rsid w:val="00F14304"/>
    <w:rsid w:val="00F16BDE"/>
    <w:rsid w:val="00F175E5"/>
    <w:rsid w:val="00F177C6"/>
    <w:rsid w:val="00F20EF7"/>
    <w:rsid w:val="00F2403C"/>
    <w:rsid w:val="00F241D0"/>
    <w:rsid w:val="00F2725A"/>
    <w:rsid w:val="00F3033D"/>
    <w:rsid w:val="00F31279"/>
    <w:rsid w:val="00F31CDB"/>
    <w:rsid w:val="00F323E9"/>
    <w:rsid w:val="00F33EA3"/>
    <w:rsid w:val="00F369FD"/>
    <w:rsid w:val="00F37616"/>
    <w:rsid w:val="00F40421"/>
    <w:rsid w:val="00F437B4"/>
    <w:rsid w:val="00F43CA4"/>
    <w:rsid w:val="00F4432B"/>
    <w:rsid w:val="00F447A4"/>
    <w:rsid w:val="00F4490A"/>
    <w:rsid w:val="00F449A5"/>
    <w:rsid w:val="00F45790"/>
    <w:rsid w:val="00F505F9"/>
    <w:rsid w:val="00F51290"/>
    <w:rsid w:val="00F51FD9"/>
    <w:rsid w:val="00F53599"/>
    <w:rsid w:val="00F53E8E"/>
    <w:rsid w:val="00F5745E"/>
    <w:rsid w:val="00F66B32"/>
    <w:rsid w:val="00F67393"/>
    <w:rsid w:val="00F67FE6"/>
    <w:rsid w:val="00F70D43"/>
    <w:rsid w:val="00F71020"/>
    <w:rsid w:val="00F7252C"/>
    <w:rsid w:val="00F726E8"/>
    <w:rsid w:val="00F74D52"/>
    <w:rsid w:val="00F752AB"/>
    <w:rsid w:val="00F7669C"/>
    <w:rsid w:val="00F81641"/>
    <w:rsid w:val="00F81BF0"/>
    <w:rsid w:val="00F81C3A"/>
    <w:rsid w:val="00F83501"/>
    <w:rsid w:val="00F835D1"/>
    <w:rsid w:val="00F839CD"/>
    <w:rsid w:val="00F9097E"/>
    <w:rsid w:val="00F96301"/>
    <w:rsid w:val="00F96F57"/>
    <w:rsid w:val="00FA0609"/>
    <w:rsid w:val="00FA1C7B"/>
    <w:rsid w:val="00FA2E71"/>
    <w:rsid w:val="00FA32CC"/>
    <w:rsid w:val="00FA462F"/>
    <w:rsid w:val="00FA5411"/>
    <w:rsid w:val="00FA5480"/>
    <w:rsid w:val="00FA73E8"/>
    <w:rsid w:val="00FA7853"/>
    <w:rsid w:val="00FB0BC4"/>
    <w:rsid w:val="00FB1AA6"/>
    <w:rsid w:val="00FB26D8"/>
    <w:rsid w:val="00FC0728"/>
    <w:rsid w:val="00FC3500"/>
    <w:rsid w:val="00FC492D"/>
    <w:rsid w:val="00FC4C19"/>
    <w:rsid w:val="00FC5EFE"/>
    <w:rsid w:val="00FD01F1"/>
    <w:rsid w:val="00FD1E83"/>
    <w:rsid w:val="00FD29DB"/>
    <w:rsid w:val="00FD3E52"/>
    <w:rsid w:val="00FD4281"/>
    <w:rsid w:val="00FE0151"/>
    <w:rsid w:val="00FE0FF6"/>
    <w:rsid w:val="00FE2A9C"/>
    <w:rsid w:val="00FE43F6"/>
    <w:rsid w:val="00FE5108"/>
    <w:rsid w:val="00FE665F"/>
    <w:rsid w:val="00FF037F"/>
    <w:rsid w:val="00FF1662"/>
    <w:rsid w:val="00FF2284"/>
    <w:rsid w:val="00FF5E50"/>
    <w:rsid w:val="00FF6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D1DB1"/>
  <w15:chartTrackingRefBased/>
  <w15:docId w15:val="{77C81378-FA20-4244-BD6D-6C1DBF91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880"/>
    <w:rPr>
      <w:sz w:val="18"/>
      <w:szCs w:val="22"/>
      <w:lang w:eastAsia="en-US"/>
    </w:rPr>
  </w:style>
  <w:style w:type="paragraph" w:styleId="Heading1">
    <w:name w:val="heading 1"/>
    <w:basedOn w:val="Normal"/>
    <w:next w:val="BodyText"/>
    <w:link w:val="Heading1Char"/>
    <w:qFormat/>
    <w:rsid w:val="004C761D"/>
    <w:pPr>
      <w:keepNext/>
      <w:keepLines/>
      <w:numPr>
        <w:numId w:val="33"/>
      </w:numPr>
      <w:spacing w:after="580"/>
      <w:outlineLvl w:val="0"/>
    </w:pPr>
    <w:rPr>
      <w:rFonts w:eastAsia="Times New Roman"/>
      <w:b/>
      <w:bCs/>
      <w:color w:val="783CBD"/>
      <w:sz w:val="36"/>
      <w:szCs w:val="28"/>
    </w:rPr>
  </w:style>
  <w:style w:type="paragraph" w:styleId="Heading2">
    <w:name w:val="heading 2"/>
    <w:basedOn w:val="Heading1"/>
    <w:next w:val="BodyText"/>
    <w:link w:val="Heading2Char"/>
    <w:unhideWhenUsed/>
    <w:qFormat/>
    <w:rsid w:val="00EC2EAA"/>
    <w:pPr>
      <w:numPr>
        <w:ilvl w:val="1"/>
      </w:numPr>
      <w:spacing w:before="480" w:after="240"/>
      <w:outlineLvl w:val="1"/>
    </w:pPr>
    <w:rPr>
      <w:b w:val="0"/>
      <w:bCs w:val="0"/>
      <w:sz w:val="28"/>
      <w:szCs w:val="26"/>
    </w:rPr>
  </w:style>
  <w:style w:type="paragraph" w:styleId="Heading3">
    <w:name w:val="heading 3"/>
    <w:basedOn w:val="Heading2"/>
    <w:next w:val="BodyText"/>
    <w:link w:val="Heading3Char"/>
    <w:unhideWhenUsed/>
    <w:qFormat/>
    <w:rsid w:val="00441A9F"/>
    <w:pPr>
      <w:numPr>
        <w:ilvl w:val="0"/>
        <w:numId w:val="0"/>
      </w:numPr>
      <w:spacing w:after="200"/>
      <w:outlineLvl w:val="2"/>
    </w:pPr>
    <w:rPr>
      <w:b/>
      <w:bCs/>
      <w:sz w:val="18"/>
    </w:rPr>
  </w:style>
  <w:style w:type="paragraph" w:styleId="Heading4">
    <w:name w:val="heading 4"/>
    <w:basedOn w:val="Heading3"/>
    <w:next w:val="BodyText"/>
    <w:link w:val="Heading4Char"/>
    <w:uiPriority w:val="9"/>
    <w:semiHidden/>
    <w:qFormat/>
    <w:rsid w:val="006E2C6C"/>
    <w:pPr>
      <w:outlineLvl w:val="3"/>
    </w:pPr>
    <w:rPr>
      <w:bCs w:val="0"/>
      <w:iCs/>
    </w:rPr>
  </w:style>
  <w:style w:type="paragraph" w:styleId="Heading5">
    <w:name w:val="heading 5"/>
    <w:basedOn w:val="Heading4"/>
    <w:next w:val="BodyText"/>
    <w:link w:val="Heading5Char"/>
    <w:uiPriority w:val="9"/>
    <w:semiHidden/>
    <w:qFormat/>
    <w:rsid w:val="006E2C6C"/>
    <w:pPr>
      <w:outlineLvl w:val="4"/>
    </w:pPr>
    <w:rPr>
      <w:b w:val="0"/>
      <w:i/>
    </w:rPr>
  </w:style>
  <w:style w:type="paragraph" w:styleId="Heading6">
    <w:name w:val="heading 6"/>
    <w:basedOn w:val="Heading5"/>
    <w:next w:val="BodyText"/>
    <w:link w:val="Heading6Char"/>
    <w:uiPriority w:val="9"/>
    <w:semiHidden/>
    <w:qFormat/>
    <w:rsid w:val="006E2C6C"/>
    <w:pPr>
      <w:outlineLvl w:val="5"/>
    </w:pPr>
    <w:rPr>
      <w:i w:val="0"/>
      <w:iCs w:val="0"/>
    </w:rPr>
  </w:style>
  <w:style w:type="paragraph" w:styleId="Heading7">
    <w:name w:val="heading 7"/>
    <w:basedOn w:val="Normal"/>
    <w:next w:val="Normal"/>
    <w:link w:val="Heading7Char"/>
    <w:uiPriority w:val="9"/>
    <w:semiHidden/>
    <w:rsid w:val="006E2C6C"/>
    <w:pPr>
      <w:keepNext/>
      <w:keepLines/>
      <w:spacing w:before="200"/>
      <w:outlineLvl w:val="6"/>
    </w:pPr>
    <w:rPr>
      <w:rFonts w:eastAsia="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24040"/>
    <w:pPr>
      <w:tabs>
        <w:tab w:val="left" w:pos="737"/>
      </w:tabs>
      <w:spacing w:before="240" w:after="240" w:line="288" w:lineRule="auto"/>
    </w:pPr>
  </w:style>
  <w:style w:type="character" w:customStyle="1" w:styleId="BodyTextChar">
    <w:name w:val="Body Text Char"/>
    <w:link w:val="BodyText"/>
    <w:rsid w:val="00824040"/>
    <w:rPr>
      <w:sz w:val="18"/>
      <w:szCs w:val="22"/>
      <w:lang w:eastAsia="en-US"/>
    </w:rPr>
  </w:style>
  <w:style w:type="character" w:customStyle="1" w:styleId="Heading1Char">
    <w:name w:val="Heading 1 Char"/>
    <w:link w:val="Heading1"/>
    <w:rsid w:val="00C937BD"/>
    <w:rPr>
      <w:rFonts w:ascii="Arial" w:eastAsia="Times New Roman" w:hAnsi="Arial" w:cs="Times New Roman"/>
      <w:b/>
      <w:bCs/>
      <w:color w:val="783CBD"/>
      <w:sz w:val="36"/>
      <w:szCs w:val="28"/>
      <w:lang w:val="en-GB"/>
    </w:rPr>
  </w:style>
  <w:style w:type="character" w:customStyle="1" w:styleId="Heading2Char">
    <w:name w:val="Heading 2 Char"/>
    <w:link w:val="Heading2"/>
    <w:rsid w:val="00C937BD"/>
    <w:rPr>
      <w:rFonts w:ascii="Arial" w:eastAsia="Times New Roman" w:hAnsi="Arial" w:cs="Times New Roman"/>
      <w:color w:val="783CBD"/>
      <w:sz w:val="28"/>
      <w:szCs w:val="26"/>
      <w:lang w:val="en-GB"/>
    </w:rPr>
  </w:style>
  <w:style w:type="character" w:customStyle="1" w:styleId="Heading3Char">
    <w:name w:val="Heading 3 Char"/>
    <w:link w:val="Heading3"/>
    <w:rsid w:val="00C937BD"/>
    <w:rPr>
      <w:rFonts w:ascii="Arial" w:eastAsia="Times New Roman" w:hAnsi="Arial" w:cs="Times New Roman"/>
      <w:b/>
      <w:bCs/>
      <w:color w:val="783CBD"/>
      <w:sz w:val="18"/>
      <w:szCs w:val="26"/>
      <w:lang w:val="en-GB"/>
    </w:rPr>
  </w:style>
  <w:style w:type="character" w:customStyle="1" w:styleId="Heading4Char">
    <w:name w:val="Heading 4 Char"/>
    <w:link w:val="Heading4"/>
    <w:uiPriority w:val="9"/>
    <w:semiHidden/>
    <w:rsid w:val="00850618"/>
    <w:rPr>
      <w:rFonts w:ascii="Arial" w:eastAsia="Times New Roman" w:hAnsi="Arial" w:cs="Times New Roman"/>
      <w:b/>
      <w:iCs/>
      <w:color w:val="783CBD"/>
      <w:sz w:val="18"/>
      <w:szCs w:val="26"/>
      <w:lang w:val="en-GB"/>
    </w:rPr>
  </w:style>
  <w:style w:type="character" w:customStyle="1" w:styleId="Heading5Char">
    <w:name w:val="Heading 5 Char"/>
    <w:link w:val="Heading5"/>
    <w:uiPriority w:val="9"/>
    <w:semiHidden/>
    <w:rsid w:val="006E2C6C"/>
    <w:rPr>
      <w:rFonts w:eastAsia="Times New Roman" w:cs="Times New Roman"/>
      <w:i/>
      <w:iCs/>
      <w:color w:val="8A78B6"/>
      <w:sz w:val="18"/>
      <w:szCs w:val="26"/>
      <w:lang w:val="en-GB"/>
    </w:rPr>
  </w:style>
  <w:style w:type="character" w:customStyle="1" w:styleId="Heading6Char">
    <w:name w:val="Heading 6 Char"/>
    <w:link w:val="Heading6"/>
    <w:uiPriority w:val="9"/>
    <w:semiHidden/>
    <w:rsid w:val="006E2C6C"/>
    <w:rPr>
      <w:rFonts w:eastAsia="Times New Roman" w:cs="Times New Roman"/>
      <w:color w:val="8A78B6"/>
      <w:sz w:val="18"/>
      <w:szCs w:val="26"/>
      <w:lang w:val="en-GB"/>
    </w:rPr>
  </w:style>
  <w:style w:type="paragraph" w:customStyle="1" w:styleId="TableTextPurpleBold">
    <w:name w:val="Table Text Purple Bold"/>
    <w:basedOn w:val="TableTextPurple"/>
    <w:qFormat/>
    <w:rsid w:val="006E2C6C"/>
    <w:rPr>
      <w:b/>
    </w:rPr>
  </w:style>
  <w:style w:type="character" w:styleId="Hyperlink">
    <w:name w:val="Hyperlink"/>
    <w:uiPriority w:val="99"/>
    <w:unhideWhenUsed/>
    <w:rsid w:val="006E2C6C"/>
    <w:rPr>
      <w:color w:val="0000FF"/>
      <w:u w:val="single"/>
    </w:rPr>
  </w:style>
  <w:style w:type="paragraph" w:styleId="ListBullet">
    <w:name w:val="List Bullet"/>
    <w:basedOn w:val="BodyText"/>
    <w:unhideWhenUsed/>
    <w:qFormat/>
    <w:rsid w:val="00EC2EAA"/>
    <w:pPr>
      <w:numPr>
        <w:numId w:val="2"/>
      </w:numPr>
    </w:pPr>
  </w:style>
  <w:style w:type="character" w:customStyle="1" w:styleId="Heading7Char">
    <w:name w:val="Heading 7 Char"/>
    <w:link w:val="Heading7"/>
    <w:uiPriority w:val="9"/>
    <w:semiHidden/>
    <w:rsid w:val="006E2C6C"/>
    <w:rPr>
      <w:rFonts w:eastAsia="Times New Roman" w:cs="Times New Roman"/>
      <w:i/>
      <w:iCs/>
      <w:color w:val="404040"/>
      <w:sz w:val="18"/>
      <w:lang w:val="en-GB"/>
    </w:rPr>
  </w:style>
  <w:style w:type="paragraph" w:styleId="Footer">
    <w:name w:val="footer"/>
    <w:basedOn w:val="Normal"/>
    <w:link w:val="FooterChar"/>
    <w:uiPriority w:val="99"/>
    <w:unhideWhenUsed/>
    <w:rsid w:val="004E7D03"/>
    <w:pPr>
      <w:tabs>
        <w:tab w:val="center" w:pos="5103"/>
        <w:tab w:val="right" w:pos="10206"/>
      </w:tabs>
    </w:pPr>
    <w:rPr>
      <w:sz w:val="16"/>
    </w:rPr>
  </w:style>
  <w:style w:type="character" w:customStyle="1" w:styleId="FooterChar">
    <w:name w:val="Footer Char"/>
    <w:link w:val="Footer"/>
    <w:uiPriority w:val="99"/>
    <w:rsid w:val="004E7D03"/>
    <w:rPr>
      <w:rFonts w:ascii="Arial" w:hAnsi="Arial"/>
      <w:sz w:val="16"/>
      <w:lang w:val="en-GB"/>
    </w:rPr>
  </w:style>
  <w:style w:type="paragraph" w:styleId="Header">
    <w:name w:val="header"/>
    <w:basedOn w:val="Normal"/>
    <w:link w:val="HeaderChar"/>
    <w:uiPriority w:val="99"/>
    <w:unhideWhenUsed/>
    <w:rsid w:val="00AF1D1E"/>
    <w:pPr>
      <w:spacing w:line="300" w:lineRule="exact"/>
      <w:jc w:val="right"/>
    </w:pPr>
    <w:rPr>
      <w:b/>
      <w:color w:val="783CBD"/>
    </w:rPr>
  </w:style>
  <w:style w:type="character" w:customStyle="1" w:styleId="HeaderChar">
    <w:name w:val="Header Char"/>
    <w:link w:val="Header"/>
    <w:uiPriority w:val="99"/>
    <w:rsid w:val="00AF1D1E"/>
    <w:rPr>
      <w:rFonts w:ascii="Arial" w:hAnsi="Arial"/>
      <w:b/>
      <w:color w:val="783CBD"/>
      <w:sz w:val="18"/>
      <w:lang w:val="en-GB"/>
    </w:rPr>
  </w:style>
  <w:style w:type="character" w:styleId="PageNumber">
    <w:name w:val="page number"/>
    <w:uiPriority w:val="99"/>
    <w:semiHidden/>
    <w:unhideWhenUsed/>
    <w:rsid w:val="006E2C6C"/>
    <w:rPr>
      <w:rFonts w:ascii="Arial" w:hAnsi="Arial"/>
      <w:sz w:val="20"/>
    </w:rPr>
  </w:style>
  <w:style w:type="paragraph" w:styleId="Title">
    <w:name w:val="Title"/>
    <w:basedOn w:val="Normal"/>
    <w:link w:val="TitleChar"/>
    <w:uiPriority w:val="10"/>
    <w:qFormat/>
    <w:rsid w:val="00312B86"/>
    <w:pPr>
      <w:spacing w:after="240"/>
    </w:pPr>
    <w:rPr>
      <w:rFonts w:eastAsia="Times New Roman"/>
      <w:b/>
      <w:color w:val="783CBD"/>
      <w:kern w:val="28"/>
      <w:sz w:val="36"/>
      <w:szCs w:val="52"/>
    </w:rPr>
  </w:style>
  <w:style w:type="character" w:customStyle="1" w:styleId="TitleChar">
    <w:name w:val="Title Char"/>
    <w:link w:val="Title"/>
    <w:uiPriority w:val="10"/>
    <w:rsid w:val="00312B86"/>
    <w:rPr>
      <w:rFonts w:ascii="Arial" w:eastAsia="Times New Roman" w:hAnsi="Arial" w:cs="Times New Roman"/>
      <w:b/>
      <w:color w:val="783CBD"/>
      <w:kern w:val="28"/>
      <w:sz w:val="36"/>
      <w:szCs w:val="52"/>
      <w:lang w:val="en-GB"/>
    </w:rPr>
  </w:style>
  <w:style w:type="paragraph" w:styleId="TOC1">
    <w:name w:val="toc 1"/>
    <w:basedOn w:val="Normal"/>
    <w:next w:val="Normal"/>
    <w:uiPriority w:val="39"/>
    <w:unhideWhenUsed/>
    <w:rsid w:val="00DA59F0"/>
    <w:pPr>
      <w:numPr>
        <w:numId w:val="16"/>
      </w:numPr>
      <w:tabs>
        <w:tab w:val="left" w:pos="851"/>
        <w:tab w:val="right" w:pos="7371"/>
      </w:tabs>
      <w:spacing w:before="400" w:after="200"/>
    </w:pPr>
    <w:rPr>
      <w:b/>
      <w:color w:val="783CBD"/>
    </w:rPr>
  </w:style>
  <w:style w:type="paragraph" w:styleId="TOC3">
    <w:name w:val="toc 3"/>
    <w:basedOn w:val="Normal"/>
    <w:next w:val="Normal"/>
    <w:uiPriority w:val="39"/>
    <w:unhideWhenUsed/>
    <w:rsid w:val="00DA59F0"/>
    <w:pPr>
      <w:tabs>
        <w:tab w:val="right" w:pos="7371"/>
      </w:tabs>
      <w:spacing w:after="400"/>
      <w:ind w:left="624"/>
    </w:pPr>
    <w:rPr>
      <w:b/>
      <w:color w:val="783CBD"/>
    </w:rPr>
  </w:style>
  <w:style w:type="table" w:customStyle="1" w:styleId="Blank">
    <w:name w:val="Blank"/>
    <w:basedOn w:val="TableNormal"/>
    <w:uiPriority w:val="99"/>
    <w:rsid w:val="006E2C6C"/>
    <w:tblPr>
      <w:tblCellMar>
        <w:left w:w="0" w:type="dxa"/>
        <w:right w:w="0" w:type="dxa"/>
      </w:tblCellMar>
    </w:tblPr>
  </w:style>
  <w:style w:type="table" w:styleId="TableGrid">
    <w:name w:val="Table Grid"/>
    <w:basedOn w:val="TableNormal"/>
    <w:uiPriority w:val="59"/>
    <w:rsid w:val="006E2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Address">
    <w:name w:val="Cover Address"/>
    <w:basedOn w:val="Normal"/>
    <w:link w:val="CoverAddressChar"/>
    <w:qFormat/>
    <w:rsid w:val="00312B86"/>
    <w:pPr>
      <w:spacing w:after="240" w:line="288" w:lineRule="auto"/>
      <w:contextualSpacing/>
    </w:pPr>
    <w:rPr>
      <w:color w:val="7C7C7E"/>
      <w:sz w:val="36"/>
    </w:rPr>
  </w:style>
  <w:style w:type="paragraph" w:styleId="BalloonText">
    <w:name w:val="Balloon Text"/>
    <w:basedOn w:val="Normal"/>
    <w:link w:val="BalloonTextChar"/>
    <w:uiPriority w:val="99"/>
    <w:semiHidden/>
    <w:unhideWhenUsed/>
    <w:rsid w:val="006E2C6C"/>
    <w:rPr>
      <w:rFonts w:ascii="Tahoma" w:hAnsi="Tahoma" w:cs="Tahoma"/>
      <w:sz w:val="16"/>
      <w:szCs w:val="16"/>
    </w:rPr>
  </w:style>
  <w:style w:type="character" w:customStyle="1" w:styleId="BalloonTextChar">
    <w:name w:val="Balloon Text Char"/>
    <w:link w:val="BalloonText"/>
    <w:uiPriority w:val="99"/>
    <w:semiHidden/>
    <w:rsid w:val="006E2C6C"/>
    <w:rPr>
      <w:rFonts w:ascii="Tahoma" w:hAnsi="Tahoma" w:cs="Tahoma"/>
      <w:color w:val="000000"/>
      <w:sz w:val="16"/>
      <w:szCs w:val="16"/>
      <w:lang w:val="en-GB"/>
    </w:rPr>
  </w:style>
  <w:style w:type="paragraph" w:customStyle="1" w:styleId="Heading1NoNumber">
    <w:name w:val="Heading 1 No Number"/>
    <w:basedOn w:val="Heading1"/>
    <w:next w:val="BodyText"/>
    <w:qFormat/>
    <w:rsid w:val="006E2C6C"/>
    <w:pPr>
      <w:numPr>
        <w:numId w:val="0"/>
      </w:numPr>
    </w:pPr>
  </w:style>
  <w:style w:type="character" w:styleId="PlaceholderText">
    <w:name w:val="Placeholder Text"/>
    <w:uiPriority w:val="99"/>
    <w:rsid w:val="00BF0CFD"/>
    <w:rPr>
      <w:color w:val="FF3399"/>
    </w:rPr>
  </w:style>
  <w:style w:type="table" w:customStyle="1" w:styleId="PrefaceTable">
    <w:name w:val="Preface Table"/>
    <w:basedOn w:val="TableNormal"/>
    <w:uiPriority w:val="99"/>
    <w:rsid w:val="006E2C6C"/>
    <w:tblPr>
      <w:tblStyleRowBandSize w:val="1"/>
      <w:tblBorders>
        <w:bottom w:val="single" w:sz="4" w:space="0" w:color="8A78B6"/>
      </w:tblBorders>
      <w:tblCellMar>
        <w:top w:w="113" w:type="dxa"/>
        <w:bottom w:w="227" w:type="dxa"/>
      </w:tblCellMar>
    </w:tblPr>
    <w:tblStylePr w:type="firstRow">
      <w:tblPr/>
      <w:tcPr>
        <w:tcBorders>
          <w:top w:val="single" w:sz="4" w:space="0" w:color="8A78B6"/>
          <w:bottom w:val="single" w:sz="4" w:space="0" w:color="8A78B6"/>
        </w:tcBorders>
      </w:tcPr>
    </w:tblStylePr>
    <w:tblStylePr w:type="band1Horz">
      <w:tblPr/>
      <w:tcPr>
        <w:shd w:val="clear" w:color="auto" w:fill="D0C8E1"/>
      </w:tcPr>
    </w:tblStylePr>
  </w:style>
  <w:style w:type="paragraph" w:customStyle="1" w:styleId="Heading1NoTOC">
    <w:name w:val="Heading 1 No TOC"/>
    <w:basedOn w:val="Heading1"/>
    <w:next w:val="BodyText"/>
    <w:qFormat/>
    <w:rsid w:val="006E2C6C"/>
    <w:pPr>
      <w:numPr>
        <w:numId w:val="0"/>
      </w:numPr>
    </w:pPr>
  </w:style>
  <w:style w:type="table" w:customStyle="1" w:styleId="ExecutiveSummaryTable">
    <w:name w:val="Executive Summary Table"/>
    <w:basedOn w:val="TableNormal"/>
    <w:uiPriority w:val="99"/>
    <w:rsid w:val="006E2C6C"/>
    <w:tblPr>
      <w:tblBorders>
        <w:insideV w:val="single" w:sz="4" w:space="0" w:color="8A78B6"/>
      </w:tblBorders>
      <w:tblCellMar>
        <w:left w:w="0" w:type="dxa"/>
        <w:right w:w="0" w:type="dxa"/>
      </w:tblCellMar>
    </w:tblPr>
  </w:style>
  <w:style w:type="table" w:customStyle="1" w:styleId="CostsTable">
    <w:name w:val="Costs Table"/>
    <w:basedOn w:val="TableNormal"/>
    <w:uiPriority w:val="99"/>
    <w:rsid w:val="006E2C6C"/>
    <w:tblPr>
      <w:tblStyleRowBandSize w:val="1"/>
      <w:tblCellMar>
        <w:top w:w="57" w:type="dxa"/>
        <w:left w:w="0" w:type="dxa"/>
        <w:right w:w="0" w:type="dxa"/>
      </w:tblCellMar>
    </w:tblPr>
    <w:tblStylePr w:type="firstRow">
      <w:tblPr/>
      <w:tcPr>
        <w:tcBorders>
          <w:top w:val="single" w:sz="4" w:space="0" w:color="8A78B6"/>
          <w:left w:val="nil"/>
          <w:bottom w:val="single" w:sz="4" w:space="0" w:color="8A78B6"/>
          <w:right w:val="nil"/>
          <w:insideH w:val="nil"/>
          <w:insideV w:val="nil"/>
        </w:tcBorders>
        <w:shd w:val="clear" w:color="auto" w:fill="D0C8E1"/>
      </w:tcPr>
    </w:tblStylePr>
    <w:tblStylePr w:type="lastRow">
      <w:tblPr/>
      <w:tcPr>
        <w:tcBorders>
          <w:top w:val="single" w:sz="4" w:space="0" w:color="8A78B6"/>
          <w:bottom w:val="single" w:sz="4" w:space="0" w:color="8A78B6"/>
        </w:tcBorders>
        <w:shd w:val="clear" w:color="auto" w:fill="D0C8E1"/>
      </w:tcPr>
    </w:tblStylePr>
    <w:tblStylePr w:type="band2Horz">
      <w:tblPr/>
      <w:tcPr>
        <w:shd w:val="clear" w:color="auto" w:fill="D0C8E1"/>
      </w:tcPr>
    </w:tblStylePr>
  </w:style>
  <w:style w:type="paragraph" w:customStyle="1" w:styleId="TableTextPurple">
    <w:name w:val="Table Text Purple"/>
    <w:basedOn w:val="TableText"/>
    <w:qFormat/>
    <w:rsid w:val="00C85B78"/>
    <w:rPr>
      <w:color w:val="783CBD"/>
    </w:rPr>
  </w:style>
  <w:style w:type="numbering" w:customStyle="1" w:styleId="TFTNumberedHeadings">
    <w:name w:val="TFT Numbered Headings"/>
    <w:basedOn w:val="NoList"/>
    <w:uiPriority w:val="99"/>
    <w:rsid w:val="00FA32CC"/>
    <w:pPr>
      <w:numPr>
        <w:numId w:val="1"/>
      </w:numPr>
    </w:pPr>
  </w:style>
  <w:style w:type="paragraph" w:customStyle="1" w:styleId="ConditionReportNotes">
    <w:name w:val="Condition Report Notes"/>
    <w:basedOn w:val="BodyText"/>
    <w:qFormat/>
    <w:rsid w:val="00850618"/>
    <w:pPr>
      <w:tabs>
        <w:tab w:val="clear" w:pos="737"/>
      </w:tabs>
      <w:spacing w:before="0" w:after="0"/>
      <w:ind w:left="737"/>
    </w:pPr>
    <w:rPr>
      <w:i/>
    </w:rPr>
  </w:style>
  <w:style w:type="numbering" w:customStyle="1" w:styleId="TFTBullets">
    <w:name w:val="TFT Bullets"/>
    <w:basedOn w:val="NoList"/>
    <w:uiPriority w:val="99"/>
    <w:rsid w:val="00EC2EAA"/>
    <w:pPr>
      <w:numPr>
        <w:numId w:val="2"/>
      </w:numPr>
    </w:pPr>
  </w:style>
  <w:style w:type="paragraph" w:customStyle="1" w:styleId="BodyTextPurple">
    <w:name w:val="Body Text Purple"/>
    <w:basedOn w:val="BodyText"/>
    <w:qFormat/>
    <w:rsid w:val="00C85B78"/>
    <w:rPr>
      <w:color w:val="783CBD"/>
    </w:rPr>
  </w:style>
  <w:style w:type="paragraph" w:customStyle="1" w:styleId="ConditionReportHeading">
    <w:name w:val="Condition Report Heading"/>
    <w:basedOn w:val="Heading2"/>
    <w:next w:val="ConditionReportText"/>
    <w:qFormat/>
    <w:rsid w:val="00441A9F"/>
    <w:pPr>
      <w:numPr>
        <w:ilvl w:val="3"/>
      </w:numPr>
      <w:spacing w:before="0" w:after="0"/>
    </w:pPr>
    <w:rPr>
      <w:sz w:val="18"/>
    </w:rPr>
  </w:style>
  <w:style w:type="paragraph" w:customStyle="1" w:styleId="ConditionReportText">
    <w:name w:val="Condition Report Text"/>
    <w:basedOn w:val="BodyText"/>
    <w:next w:val="BodyTextIndented"/>
    <w:qFormat/>
    <w:rsid w:val="004C761D"/>
    <w:pPr>
      <w:numPr>
        <w:ilvl w:val="4"/>
        <w:numId w:val="33"/>
      </w:numPr>
      <w:tabs>
        <w:tab w:val="clear" w:pos="737"/>
      </w:tabs>
      <w:spacing w:before="0" w:after="0"/>
    </w:pPr>
    <w:rPr>
      <w:color w:val="000000" w:themeColor="text1"/>
    </w:rPr>
  </w:style>
  <w:style w:type="numbering" w:customStyle="1" w:styleId="TFTEnquiryBullets">
    <w:name w:val="TFT Enquiry Bullets"/>
    <w:basedOn w:val="NoList"/>
    <w:uiPriority w:val="99"/>
    <w:rsid w:val="00743FE2"/>
    <w:pPr>
      <w:numPr>
        <w:numId w:val="10"/>
      </w:numPr>
    </w:pPr>
  </w:style>
  <w:style w:type="paragraph" w:customStyle="1" w:styleId="Heading2NoNumber">
    <w:name w:val="Heading 2 No Number"/>
    <w:basedOn w:val="Heading2"/>
    <w:qFormat/>
    <w:rsid w:val="006E2C6C"/>
    <w:pPr>
      <w:numPr>
        <w:ilvl w:val="0"/>
        <w:numId w:val="0"/>
      </w:numPr>
      <w:spacing w:line="276" w:lineRule="auto"/>
    </w:pPr>
  </w:style>
  <w:style w:type="paragraph" w:customStyle="1" w:styleId="PhotographCaption">
    <w:name w:val="Photograph Caption"/>
    <w:basedOn w:val="Normal"/>
    <w:next w:val="Normal"/>
    <w:qFormat/>
    <w:rsid w:val="00731044"/>
    <w:pPr>
      <w:numPr>
        <w:numId w:val="6"/>
      </w:numPr>
      <w:jc w:val="center"/>
    </w:pPr>
    <w:rPr>
      <w:color w:val="000000" w:themeColor="text1"/>
    </w:rPr>
  </w:style>
  <w:style w:type="numbering" w:customStyle="1" w:styleId="TFTPhotographCaptionList">
    <w:name w:val="TFT Photograph Caption List"/>
    <w:basedOn w:val="NoList"/>
    <w:uiPriority w:val="99"/>
    <w:rsid w:val="00653196"/>
    <w:pPr>
      <w:numPr>
        <w:numId w:val="6"/>
      </w:numPr>
    </w:pPr>
  </w:style>
  <w:style w:type="paragraph" w:customStyle="1" w:styleId="TableTitle">
    <w:name w:val="Table Title"/>
    <w:basedOn w:val="Normal"/>
    <w:next w:val="TableText"/>
    <w:qFormat/>
    <w:rsid w:val="00504A25"/>
    <w:pPr>
      <w:spacing w:line="276" w:lineRule="auto"/>
    </w:pPr>
    <w:rPr>
      <w:color w:val="783CBD"/>
    </w:rPr>
  </w:style>
  <w:style w:type="paragraph" w:customStyle="1" w:styleId="TOCAppendicesHeading">
    <w:name w:val="TOC Appendices Heading"/>
    <w:basedOn w:val="Normal"/>
    <w:next w:val="TOCAppendices"/>
    <w:qFormat/>
    <w:rsid w:val="00DA59F0"/>
    <w:pPr>
      <w:spacing w:after="400"/>
      <w:ind w:left="624"/>
    </w:pPr>
    <w:rPr>
      <w:b/>
      <w:color w:val="783CBD"/>
    </w:rPr>
  </w:style>
  <w:style w:type="paragraph" w:customStyle="1" w:styleId="TOCAppendices">
    <w:name w:val="TOC Appendices"/>
    <w:basedOn w:val="TOCAppendicesHeading"/>
    <w:qFormat/>
    <w:rsid w:val="001878FA"/>
    <w:pPr>
      <w:tabs>
        <w:tab w:val="left" w:pos="1758"/>
      </w:tabs>
      <w:spacing w:after="200"/>
    </w:pPr>
    <w:rPr>
      <w:b w:val="0"/>
      <w:color w:val="auto"/>
    </w:rPr>
  </w:style>
  <w:style w:type="paragraph" w:customStyle="1" w:styleId="AppendixHeading">
    <w:name w:val="Appendix Heading"/>
    <w:basedOn w:val="Normal"/>
    <w:next w:val="BodyText"/>
    <w:qFormat/>
    <w:rsid w:val="007F2814"/>
    <w:pPr>
      <w:keepNext/>
      <w:keepLines/>
      <w:pageBreakBefore/>
      <w:spacing w:after="580"/>
      <w:outlineLvl w:val="0"/>
    </w:pPr>
    <w:rPr>
      <w:rFonts w:ascii="Arial Bold" w:hAnsi="Arial Bold"/>
      <w:b/>
      <w:color w:val="783CBD"/>
      <w:sz w:val="36"/>
    </w:rPr>
  </w:style>
  <w:style w:type="paragraph" w:styleId="ListParagraph">
    <w:name w:val="List Paragraph"/>
    <w:basedOn w:val="Normal"/>
    <w:uiPriority w:val="34"/>
    <w:qFormat/>
    <w:rsid w:val="001651FB"/>
    <w:pPr>
      <w:ind w:left="720"/>
      <w:contextualSpacing/>
    </w:pPr>
  </w:style>
  <w:style w:type="table" w:customStyle="1" w:styleId="TitleTable">
    <w:name w:val="Title Table"/>
    <w:basedOn w:val="TableNormal"/>
    <w:uiPriority w:val="99"/>
    <w:rsid w:val="006E2C6C"/>
    <w:tblPr>
      <w:tblBorders>
        <w:top w:val="single" w:sz="48" w:space="0" w:color="8A78B6"/>
        <w:insideH w:val="single" w:sz="4" w:space="0" w:color="8A78B6"/>
      </w:tblBorders>
    </w:tblPr>
  </w:style>
  <w:style w:type="table" w:customStyle="1" w:styleId="TitleTable1">
    <w:name w:val="Title Table1"/>
    <w:basedOn w:val="TableNormal"/>
    <w:uiPriority w:val="99"/>
    <w:rsid w:val="00843D8B"/>
    <w:tblPr>
      <w:tblBorders>
        <w:top w:val="single" w:sz="48" w:space="0" w:color="8A78B6"/>
        <w:insideH w:val="single" w:sz="4" w:space="0" w:color="8A78B6"/>
      </w:tblBorders>
    </w:tblPr>
  </w:style>
  <w:style w:type="numbering" w:customStyle="1" w:styleId="TFTNumbers">
    <w:name w:val="TFT Numbers"/>
    <w:basedOn w:val="TFTBullets"/>
    <w:uiPriority w:val="99"/>
    <w:rsid w:val="00604FBC"/>
    <w:pPr>
      <w:numPr>
        <w:numId w:val="11"/>
      </w:numPr>
    </w:pPr>
  </w:style>
  <w:style w:type="paragraph" w:styleId="ListNumber">
    <w:name w:val="List Number"/>
    <w:basedOn w:val="BodyText"/>
    <w:qFormat/>
    <w:rsid w:val="00604FBC"/>
    <w:pPr>
      <w:numPr>
        <w:numId w:val="7"/>
      </w:numPr>
      <w:tabs>
        <w:tab w:val="clear" w:pos="737"/>
      </w:tabs>
      <w:spacing w:before="120" w:after="120"/>
    </w:pPr>
  </w:style>
  <w:style w:type="character" w:styleId="CommentReference">
    <w:name w:val="annotation reference"/>
    <w:uiPriority w:val="99"/>
    <w:semiHidden/>
    <w:unhideWhenUsed/>
    <w:rsid w:val="0087744D"/>
    <w:rPr>
      <w:sz w:val="16"/>
      <w:szCs w:val="16"/>
    </w:rPr>
  </w:style>
  <w:style w:type="paragraph" w:styleId="CommentText">
    <w:name w:val="annotation text"/>
    <w:basedOn w:val="Normal"/>
    <w:link w:val="CommentTextChar"/>
    <w:uiPriority w:val="99"/>
    <w:semiHidden/>
    <w:unhideWhenUsed/>
    <w:rsid w:val="0087744D"/>
    <w:rPr>
      <w:sz w:val="20"/>
      <w:szCs w:val="20"/>
    </w:rPr>
  </w:style>
  <w:style w:type="character" w:customStyle="1" w:styleId="CommentTextChar">
    <w:name w:val="Comment Text Char"/>
    <w:link w:val="CommentText"/>
    <w:uiPriority w:val="99"/>
    <w:semiHidden/>
    <w:rsid w:val="0087744D"/>
    <w:rPr>
      <w:rFonts w:ascii="Arial" w:hAnsi="Arial"/>
      <w:color w:val="000000"/>
      <w:sz w:val="20"/>
      <w:szCs w:val="20"/>
      <w:lang w:val="en-GB"/>
    </w:rPr>
  </w:style>
  <w:style w:type="paragraph" w:styleId="CommentSubject">
    <w:name w:val="annotation subject"/>
    <w:basedOn w:val="CommentText"/>
    <w:next w:val="CommentText"/>
    <w:link w:val="CommentSubjectChar"/>
    <w:uiPriority w:val="99"/>
    <w:semiHidden/>
    <w:unhideWhenUsed/>
    <w:rsid w:val="0087744D"/>
    <w:rPr>
      <w:b/>
      <w:bCs/>
    </w:rPr>
  </w:style>
  <w:style w:type="character" w:customStyle="1" w:styleId="CommentSubjectChar">
    <w:name w:val="Comment Subject Char"/>
    <w:link w:val="CommentSubject"/>
    <w:uiPriority w:val="99"/>
    <w:semiHidden/>
    <w:rsid w:val="0087744D"/>
    <w:rPr>
      <w:rFonts w:ascii="Arial" w:hAnsi="Arial"/>
      <w:b/>
      <w:bCs/>
      <w:color w:val="000000"/>
      <w:sz w:val="20"/>
      <w:szCs w:val="20"/>
      <w:lang w:val="en-GB"/>
    </w:rPr>
  </w:style>
  <w:style w:type="table" w:customStyle="1" w:styleId="TableGrid1">
    <w:name w:val="Table Grid1"/>
    <w:basedOn w:val="TableNormal"/>
    <w:next w:val="TableGrid"/>
    <w:uiPriority w:val="59"/>
    <w:rsid w:val="0038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211B53"/>
    <w:rPr>
      <w:color w:val="808080"/>
      <w:shd w:val="clear" w:color="auto" w:fill="E6E6E6"/>
    </w:rPr>
  </w:style>
  <w:style w:type="paragraph" w:customStyle="1" w:styleId="FooterLandscape">
    <w:name w:val="Footer Landscape"/>
    <w:basedOn w:val="Footer"/>
    <w:rsid w:val="004E7D03"/>
    <w:pPr>
      <w:tabs>
        <w:tab w:val="clear" w:pos="5103"/>
        <w:tab w:val="clear" w:pos="10206"/>
        <w:tab w:val="center" w:pos="7570"/>
        <w:tab w:val="right" w:pos="15139"/>
      </w:tabs>
    </w:pPr>
    <w:rPr>
      <w:noProof/>
    </w:rPr>
  </w:style>
  <w:style w:type="paragraph" w:customStyle="1" w:styleId="PhotoRefColumn">
    <w:name w:val="Photo Ref Column"/>
    <w:basedOn w:val="BodyText"/>
    <w:link w:val="PhotoRefColumnChar"/>
    <w:qFormat/>
    <w:rsid w:val="001D74C0"/>
    <w:pPr>
      <w:spacing w:before="20" w:after="0"/>
      <w:ind w:right="28"/>
      <w:jc w:val="center"/>
    </w:pPr>
    <w:rPr>
      <w:color w:val="783CBD"/>
    </w:rPr>
  </w:style>
  <w:style w:type="paragraph" w:styleId="ListContinue">
    <w:name w:val="List Continue"/>
    <w:basedOn w:val="ListNumber"/>
    <w:qFormat/>
    <w:rsid w:val="001D4926"/>
    <w:pPr>
      <w:numPr>
        <w:numId w:val="0"/>
      </w:numPr>
    </w:pPr>
  </w:style>
  <w:style w:type="table" w:styleId="GridTable6Colorful-Accent1">
    <w:name w:val="Grid Table 6 Colorful Accent 1"/>
    <w:basedOn w:val="TableNormal"/>
    <w:uiPriority w:val="51"/>
    <w:rsid w:val="00C85B78"/>
    <w:rPr>
      <w:color w:val="783CBD"/>
    </w:rPr>
    <w:tblPr>
      <w:tblStyleRowBandSize w:val="1"/>
      <w:tblStyleColBandSize w:val="1"/>
      <w:tblBorders>
        <w:top w:val="single" w:sz="4" w:space="0" w:color="B8ADD3"/>
        <w:left w:val="single" w:sz="4" w:space="0" w:color="B8ADD3"/>
        <w:bottom w:val="single" w:sz="4" w:space="0" w:color="B8ADD3"/>
        <w:right w:val="single" w:sz="4" w:space="0" w:color="B8ADD3"/>
        <w:insideH w:val="single" w:sz="4" w:space="0" w:color="B8ADD3"/>
        <w:insideV w:val="single" w:sz="4" w:space="0" w:color="B8ADD3"/>
      </w:tblBorders>
    </w:tblPr>
    <w:tblStylePr w:type="firstRow">
      <w:rPr>
        <w:b/>
        <w:bCs/>
      </w:rPr>
      <w:tblPr/>
      <w:tcPr>
        <w:tcBorders>
          <w:bottom w:val="single" w:sz="12" w:space="0" w:color="B8ADD3"/>
        </w:tcBorders>
      </w:tcPr>
    </w:tblStylePr>
    <w:tblStylePr w:type="lastRow">
      <w:rPr>
        <w:b/>
        <w:bCs/>
      </w:rPr>
      <w:tblPr/>
      <w:tcPr>
        <w:tcBorders>
          <w:top w:val="double" w:sz="4" w:space="0" w:color="B8ADD3"/>
        </w:tcBorders>
      </w:tcPr>
    </w:tblStylePr>
    <w:tblStylePr w:type="firstCol">
      <w:rPr>
        <w:b/>
        <w:bCs/>
      </w:rPr>
    </w:tblStylePr>
    <w:tblStylePr w:type="lastCol">
      <w:rPr>
        <w:b/>
        <w:bCs/>
      </w:rPr>
    </w:tblStylePr>
    <w:tblStylePr w:type="band1Vert">
      <w:tblPr/>
      <w:tcPr>
        <w:shd w:val="clear" w:color="auto" w:fill="E7E3F0"/>
      </w:tcPr>
    </w:tblStylePr>
    <w:tblStylePr w:type="band1Horz">
      <w:tblPr/>
      <w:tcPr>
        <w:shd w:val="clear" w:color="auto" w:fill="E7E3F0"/>
      </w:tcPr>
    </w:tblStylePr>
  </w:style>
  <w:style w:type="character" w:styleId="IntenseEmphasis">
    <w:name w:val="Intense Emphasis"/>
    <w:qFormat/>
    <w:rsid w:val="00C85B78"/>
    <w:rPr>
      <w:i/>
      <w:iCs/>
      <w:color w:val="783CBD"/>
    </w:rPr>
  </w:style>
  <w:style w:type="paragraph" w:styleId="IntenseQuote">
    <w:name w:val="Intense Quote"/>
    <w:basedOn w:val="Normal"/>
    <w:next w:val="Normal"/>
    <w:link w:val="IntenseQuoteChar"/>
    <w:qFormat/>
    <w:rsid w:val="00C85B78"/>
    <w:pPr>
      <w:pBdr>
        <w:top w:val="single" w:sz="4" w:space="10" w:color="8A78B6"/>
        <w:bottom w:val="single" w:sz="4" w:space="10" w:color="8A78B6"/>
      </w:pBdr>
      <w:spacing w:before="360" w:after="360"/>
      <w:ind w:left="864" w:right="864"/>
      <w:jc w:val="center"/>
    </w:pPr>
    <w:rPr>
      <w:i/>
      <w:iCs/>
      <w:color w:val="783CBD"/>
    </w:rPr>
  </w:style>
  <w:style w:type="character" w:customStyle="1" w:styleId="IntenseQuoteChar">
    <w:name w:val="Intense Quote Char"/>
    <w:link w:val="IntenseQuote"/>
    <w:rsid w:val="00C937BD"/>
    <w:rPr>
      <w:rFonts w:ascii="Arial" w:hAnsi="Arial"/>
      <w:i/>
      <w:iCs/>
      <w:color w:val="783CBD"/>
      <w:sz w:val="18"/>
      <w:lang w:val="en-GB"/>
    </w:rPr>
  </w:style>
  <w:style w:type="character" w:styleId="IntenseReference">
    <w:name w:val="Intense Reference"/>
    <w:qFormat/>
    <w:rsid w:val="00C85B78"/>
    <w:rPr>
      <w:b/>
      <w:bCs/>
      <w:smallCaps/>
      <w:color w:val="783CBD"/>
      <w:spacing w:val="5"/>
    </w:rPr>
  </w:style>
  <w:style w:type="table" w:styleId="ListTable6Colorful-Accent1">
    <w:name w:val="List Table 6 Colorful Accent 1"/>
    <w:basedOn w:val="TableNormal"/>
    <w:uiPriority w:val="51"/>
    <w:rsid w:val="00C85B78"/>
    <w:rPr>
      <w:color w:val="783CBD"/>
    </w:rPr>
    <w:tblPr>
      <w:tblStyleRowBandSize w:val="1"/>
      <w:tblStyleColBandSize w:val="1"/>
      <w:tblBorders>
        <w:top w:val="single" w:sz="4" w:space="0" w:color="8A78B6"/>
        <w:bottom w:val="single" w:sz="4" w:space="0" w:color="8A78B6"/>
      </w:tblBorders>
    </w:tblPr>
    <w:tblStylePr w:type="firstRow">
      <w:rPr>
        <w:b/>
        <w:bCs/>
      </w:rPr>
      <w:tblPr/>
      <w:tcPr>
        <w:tcBorders>
          <w:bottom w:val="single" w:sz="4" w:space="0" w:color="8A78B6"/>
        </w:tcBorders>
      </w:tcPr>
    </w:tblStylePr>
    <w:tblStylePr w:type="lastRow">
      <w:rPr>
        <w:b/>
        <w:bCs/>
      </w:rPr>
      <w:tblPr/>
      <w:tcPr>
        <w:tcBorders>
          <w:top w:val="double" w:sz="4" w:space="0" w:color="8A78B6"/>
        </w:tcBorders>
      </w:tcPr>
    </w:tblStylePr>
    <w:tblStylePr w:type="firstCol">
      <w:rPr>
        <w:b/>
        <w:bCs/>
      </w:rPr>
    </w:tblStylePr>
    <w:tblStylePr w:type="lastCol">
      <w:rPr>
        <w:b/>
        <w:bCs/>
      </w:rPr>
    </w:tblStylePr>
    <w:tblStylePr w:type="band1Vert">
      <w:tblPr/>
      <w:tcPr>
        <w:shd w:val="clear" w:color="auto" w:fill="E7E3F0"/>
      </w:tcPr>
    </w:tblStylePr>
    <w:tblStylePr w:type="band1Horz">
      <w:tblPr/>
      <w:tcPr>
        <w:shd w:val="clear" w:color="auto" w:fill="E7E3F0"/>
      </w:tcPr>
    </w:tblStylePr>
  </w:style>
  <w:style w:type="table" w:styleId="ListTable7Colorful-Accent1">
    <w:name w:val="List Table 7 Colorful Accent 1"/>
    <w:basedOn w:val="TableNormal"/>
    <w:uiPriority w:val="52"/>
    <w:rsid w:val="00C85B78"/>
    <w:rPr>
      <w:color w:val="783CBD"/>
    </w:rPr>
    <w:tblPr>
      <w:tblStyleRowBandSize w:val="1"/>
      <w:tblStyleColBandSize w:val="1"/>
    </w:tblPr>
    <w:tblStylePr w:type="firstRow">
      <w:rPr>
        <w:rFonts w:ascii="Arial" w:eastAsia="Times New Roman" w:hAnsi="Arial" w:cs="Times New Roman"/>
        <w:i/>
        <w:iCs/>
        <w:sz w:val="26"/>
      </w:rPr>
      <w:tblPr/>
      <w:tcPr>
        <w:tcBorders>
          <w:bottom w:val="single" w:sz="4" w:space="0" w:color="8A78B6"/>
        </w:tcBorders>
        <w:shd w:val="clear" w:color="auto" w:fill="FFFFFF"/>
      </w:tcPr>
    </w:tblStylePr>
    <w:tblStylePr w:type="lastRow">
      <w:rPr>
        <w:rFonts w:ascii="Arial" w:eastAsia="Times New Roman" w:hAnsi="Arial" w:cs="Times New Roman"/>
        <w:i/>
        <w:iCs/>
        <w:sz w:val="26"/>
      </w:rPr>
      <w:tblPr/>
      <w:tcPr>
        <w:tcBorders>
          <w:top w:val="single" w:sz="4" w:space="0" w:color="8A78B6"/>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8A78B6"/>
        </w:tcBorders>
        <w:shd w:val="clear" w:color="auto" w:fill="FFFFFF"/>
      </w:tcPr>
    </w:tblStylePr>
    <w:tblStylePr w:type="lastCol">
      <w:rPr>
        <w:rFonts w:ascii="Arial" w:eastAsia="Times New Roman" w:hAnsi="Arial" w:cs="Times New Roman"/>
        <w:i/>
        <w:iCs/>
        <w:sz w:val="26"/>
      </w:rPr>
      <w:tblPr/>
      <w:tcPr>
        <w:tcBorders>
          <w:left w:val="single" w:sz="4" w:space="0" w:color="8A78B6"/>
        </w:tcBorders>
        <w:shd w:val="clear" w:color="auto" w:fill="FFFFFF"/>
      </w:tcPr>
    </w:tblStylePr>
    <w:tblStylePr w:type="band1Vert">
      <w:tblPr/>
      <w:tcPr>
        <w:shd w:val="clear" w:color="auto" w:fill="E7E3F0"/>
      </w:tcPr>
    </w:tblStylePr>
    <w:tblStylePr w:type="band1Horz">
      <w:tblPr/>
      <w:tcPr>
        <w:shd w:val="clear" w:color="auto" w:fill="E7E3F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Client">
    <w:name w:val="Cover Client"/>
    <w:basedOn w:val="CoverAddress"/>
    <w:qFormat/>
    <w:rsid w:val="00312B86"/>
  </w:style>
  <w:style w:type="paragraph" w:styleId="Caption">
    <w:name w:val="caption"/>
    <w:basedOn w:val="Normal"/>
    <w:next w:val="Normal"/>
    <w:unhideWhenUsed/>
    <w:qFormat/>
    <w:rsid w:val="00731044"/>
    <w:pPr>
      <w:spacing w:before="120" w:after="240" w:line="288" w:lineRule="auto"/>
    </w:pPr>
    <w:rPr>
      <w:b/>
      <w:iCs/>
      <w:color w:val="000000" w:themeColor="text1"/>
      <w:szCs w:val="18"/>
    </w:rPr>
  </w:style>
  <w:style w:type="table" w:customStyle="1" w:styleId="TFTTable">
    <w:name w:val="TFT Table"/>
    <w:basedOn w:val="TableNormal"/>
    <w:uiPriority w:val="99"/>
    <w:rsid w:val="00581A8B"/>
    <w:tblPr>
      <w:tblBorders>
        <w:bottom w:val="single" w:sz="2" w:space="0" w:color="D9D9D9"/>
        <w:insideH w:val="single" w:sz="2" w:space="0" w:color="D9D9D9"/>
      </w:tblBorders>
      <w:tblCellMar>
        <w:top w:w="142" w:type="dxa"/>
        <w:left w:w="0" w:type="dxa"/>
        <w:bottom w:w="142" w:type="dxa"/>
        <w:right w:w="0" w:type="dxa"/>
      </w:tblCellMar>
    </w:tblPr>
  </w:style>
  <w:style w:type="paragraph" w:customStyle="1" w:styleId="TableText">
    <w:name w:val="Table Text"/>
    <w:basedOn w:val="Normal"/>
    <w:link w:val="TableTextChar"/>
    <w:qFormat/>
    <w:rsid w:val="00731044"/>
    <w:rPr>
      <w:color w:val="000000" w:themeColor="text1"/>
    </w:rPr>
  </w:style>
  <w:style w:type="paragraph" w:customStyle="1" w:styleId="HeadingNumber">
    <w:name w:val="Heading Number"/>
    <w:basedOn w:val="Normal"/>
    <w:next w:val="Heading1"/>
    <w:rsid w:val="00EC2EAA"/>
    <w:pPr>
      <w:keepNext/>
      <w:keepLines/>
      <w:pageBreakBefore/>
      <w:pBdr>
        <w:bottom w:val="single" w:sz="6" w:space="18" w:color="D9D9D9"/>
      </w:pBdr>
      <w:spacing w:after="360"/>
    </w:pPr>
  </w:style>
  <w:style w:type="paragraph" w:customStyle="1" w:styleId="ConditionReportTextNoNumber">
    <w:name w:val="Condition Report Text No Number"/>
    <w:basedOn w:val="ConditionReportText"/>
    <w:qFormat/>
    <w:rsid w:val="00441A9F"/>
    <w:pPr>
      <w:numPr>
        <w:ilvl w:val="0"/>
        <w:numId w:val="0"/>
      </w:numPr>
      <w:ind w:left="737"/>
    </w:pPr>
  </w:style>
  <w:style w:type="paragraph" w:customStyle="1" w:styleId="ConditionReportBullet">
    <w:name w:val="Condition Report Bullet"/>
    <w:basedOn w:val="Normal"/>
    <w:qFormat/>
    <w:rsid w:val="001651FB"/>
    <w:pPr>
      <w:numPr>
        <w:numId w:val="14"/>
      </w:numPr>
    </w:pPr>
  </w:style>
  <w:style w:type="numbering" w:customStyle="1" w:styleId="TFTConditionReportBullets">
    <w:name w:val="TFT Condition Report Bullets"/>
    <w:basedOn w:val="NoList"/>
    <w:uiPriority w:val="99"/>
    <w:rsid w:val="00151978"/>
    <w:pPr>
      <w:numPr>
        <w:numId w:val="14"/>
      </w:numPr>
    </w:pPr>
  </w:style>
  <w:style w:type="paragraph" w:customStyle="1" w:styleId="Photo">
    <w:name w:val="Photo"/>
    <w:basedOn w:val="Normal"/>
    <w:next w:val="PhotographCaption"/>
    <w:qFormat/>
    <w:rsid w:val="00BE2144"/>
    <w:pPr>
      <w:keepNext/>
      <w:jc w:val="center"/>
    </w:pPr>
  </w:style>
  <w:style w:type="numbering" w:customStyle="1" w:styleId="TFTTOC1">
    <w:name w:val="TFT TOC1"/>
    <w:basedOn w:val="NoList"/>
    <w:uiPriority w:val="99"/>
    <w:rsid w:val="00DA59F0"/>
    <w:pPr>
      <w:numPr>
        <w:numId w:val="16"/>
      </w:numPr>
    </w:pPr>
  </w:style>
  <w:style w:type="paragraph" w:customStyle="1" w:styleId="EnquiryBullet">
    <w:name w:val="Enquiry Bullet"/>
    <w:basedOn w:val="BodyText"/>
    <w:qFormat/>
    <w:rsid w:val="00743FE2"/>
    <w:pPr>
      <w:numPr>
        <w:numId w:val="10"/>
      </w:numPr>
    </w:pPr>
  </w:style>
  <w:style w:type="paragraph" w:customStyle="1" w:styleId="TableTextwithSpacing">
    <w:name w:val="Table Text with Spacing"/>
    <w:basedOn w:val="TableText"/>
    <w:qFormat/>
    <w:rsid w:val="00C87805"/>
    <w:pPr>
      <w:spacing w:after="200"/>
    </w:pPr>
  </w:style>
  <w:style w:type="paragraph" w:customStyle="1" w:styleId="TableTextSmall">
    <w:name w:val="Table Text Small"/>
    <w:basedOn w:val="TableText"/>
    <w:qFormat/>
    <w:rsid w:val="00F96F57"/>
    <w:rPr>
      <w:sz w:val="14"/>
      <w:szCs w:val="12"/>
    </w:rPr>
  </w:style>
  <w:style w:type="table" w:customStyle="1" w:styleId="TFTPhotoPlaceholder">
    <w:name w:val="TFT Photo Placeholder"/>
    <w:basedOn w:val="TableNormal"/>
    <w:uiPriority w:val="99"/>
    <w:rsid w:val="00BE2144"/>
    <w:tblPr>
      <w:tblBorders>
        <w:top w:val="single" w:sz="2" w:space="0" w:color="D9D9D9"/>
        <w:bottom w:val="single" w:sz="2" w:space="0" w:color="D9D9D9"/>
      </w:tblBorders>
      <w:tblCellMar>
        <w:top w:w="142" w:type="dxa"/>
        <w:bottom w:w="142" w:type="dxa"/>
      </w:tblCellMar>
    </w:tblPr>
    <w:trPr>
      <w:cantSplit/>
    </w:trPr>
  </w:style>
  <w:style w:type="paragraph" w:customStyle="1" w:styleId="PlaceholderAddress">
    <w:name w:val="PlaceholderAddress"/>
    <w:basedOn w:val="CoverAddress"/>
    <w:link w:val="PlaceholderAddressChar"/>
    <w:qFormat/>
    <w:rsid w:val="00F45790"/>
  </w:style>
  <w:style w:type="character" w:customStyle="1" w:styleId="CoverAddressChar">
    <w:name w:val="Cover Address Char"/>
    <w:basedOn w:val="DefaultParagraphFont"/>
    <w:link w:val="CoverAddress"/>
    <w:rsid w:val="00F45790"/>
    <w:rPr>
      <w:color w:val="7C7C7E"/>
      <w:sz w:val="36"/>
      <w:szCs w:val="22"/>
      <w:lang w:eastAsia="en-US"/>
    </w:rPr>
  </w:style>
  <w:style w:type="character" w:customStyle="1" w:styleId="PlaceholderAddressChar">
    <w:name w:val="PlaceholderAddress Char"/>
    <w:basedOn w:val="CoverAddressChar"/>
    <w:link w:val="PlaceholderAddress"/>
    <w:rsid w:val="00F45790"/>
    <w:rPr>
      <w:color w:val="7C7C7E"/>
      <w:sz w:val="36"/>
      <w:szCs w:val="22"/>
      <w:lang w:eastAsia="en-US"/>
    </w:rPr>
  </w:style>
  <w:style w:type="paragraph" w:styleId="TOCHeading">
    <w:name w:val="TOC Heading"/>
    <w:basedOn w:val="Heading1"/>
    <w:next w:val="Normal"/>
    <w:uiPriority w:val="39"/>
    <w:unhideWhenUsed/>
    <w:qFormat/>
    <w:rsid w:val="003D5211"/>
    <w:pPr>
      <w:numPr>
        <w:numId w:val="0"/>
      </w:num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3D5211"/>
    <w:pPr>
      <w:spacing w:after="100" w:line="259" w:lineRule="auto"/>
      <w:ind w:left="220"/>
    </w:pPr>
    <w:rPr>
      <w:rFonts w:asciiTheme="minorHAnsi" w:eastAsiaTheme="minorEastAsia" w:hAnsiTheme="minorHAnsi"/>
      <w:sz w:val="22"/>
      <w:lang w:val="en-US"/>
    </w:rPr>
  </w:style>
  <w:style w:type="paragraph" w:styleId="Revision">
    <w:name w:val="Revision"/>
    <w:hidden/>
    <w:uiPriority w:val="99"/>
    <w:semiHidden/>
    <w:rsid w:val="00FF5E50"/>
    <w:rPr>
      <w:sz w:val="18"/>
      <w:szCs w:val="22"/>
      <w:lang w:eastAsia="en-US"/>
    </w:rPr>
  </w:style>
  <w:style w:type="paragraph" w:customStyle="1" w:styleId="PhotoRefColumnExecSum">
    <w:name w:val="Photo Ref Column Exec Sum"/>
    <w:basedOn w:val="PhotoRefColumn"/>
    <w:link w:val="PhotoRefColumnExecSumChar"/>
    <w:qFormat/>
    <w:rsid w:val="00824040"/>
    <w:pPr>
      <w:spacing w:before="120" w:after="120"/>
    </w:pPr>
    <w:rPr>
      <w:color w:val="000000" w:themeColor="text1"/>
    </w:rPr>
  </w:style>
  <w:style w:type="character" w:customStyle="1" w:styleId="PhotoRefColumnChar">
    <w:name w:val="Photo Ref Column Char"/>
    <w:basedOn w:val="BodyTextChar"/>
    <w:link w:val="PhotoRefColumn"/>
    <w:rsid w:val="00824040"/>
    <w:rPr>
      <w:color w:val="783CBD"/>
      <w:sz w:val="18"/>
      <w:szCs w:val="22"/>
      <w:lang w:eastAsia="en-US"/>
    </w:rPr>
  </w:style>
  <w:style w:type="character" w:customStyle="1" w:styleId="PhotoRefColumnExecSumChar">
    <w:name w:val="Photo Ref Column Exec Sum Char"/>
    <w:basedOn w:val="PhotoRefColumnChar"/>
    <w:link w:val="PhotoRefColumnExecSum"/>
    <w:rsid w:val="00824040"/>
    <w:rPr>
      <w:color w:val="000000" w:themeColor="text1"/>
      <w:sz w:val="18"/>
      <w:szCs w:val="22"/>
      <w:lang w:eastAsia="en-US"/>
    </w:rPr>
  </w:style>
  <w:style w:type="paragraph" w:customStyle="1" w:styleId="BodyTextIndented">
    <w:name w:val="Body Text Indented"/>
    <w:basedOn w:val="BodyText"/>
    <w:link w:val="BodyTextIndentedChar"/>
    <w:qFormat/>
    <w:rsid w:val="00F31CDB"/>
    <w:pPr>
      <w:ind w:left="720"/>
    </w:pPr>
  </w:style>
  <w:style w:type="character" w:customStyle="1" w:styleId="BodyTextIndentedChar">
    <w:name w:val="Body Text Indented Char"/>
    <w:basedOn w:val="BodyTextChar"/>
    <w:link w:val="BodyTextIndented"/>
    <w:rsid w:val="00F31CDB"/>
    <w:rPr>
      <w:sz w:val="18"/>
      <w:szCs w:val="22"/>
      <w:lang w:eastAsia="en-US"/>
    </w:rPr>
  </w:style>
  <w:style w:type="paragraph" w:customStyle="1" w:styleId="TableText12Line">
    <w:name w:val="Table Text 1.2 Line"/>
    <w:basedOn w:val="TableText"/>
    <w:link w:val="TableText12LineChar"/>
    <w:qFormat/>
    <w:rsid w:val="00D30E8E"/>
    <w:pPr>
      <w:spacing w:line="288" w:lineRule="auto"/>
    </w:pPr>
  </w:style>
  <w:style w:type="character" w:customStyle="1" w:styleId="TableTextChar">
    <w:name w:val="Table Text Char"/>
    <w:basedOn w:val="DefaultParagraphFont"/>
    <w:link w:val="TableText"/>
    <w:rsid w:val="00731044"/>
    <w:rPr>
      <w:color w:val="000000" w:themeColor="text1"/>
      <w:sz w:val="18"/>
      <w:szCs w:val="22"/>
      <w:lang w:eastAsia="en-US"/>
    </w:rPr>
  </w:style>
  <w:style w:type="character" w:customStyle="1" w:styleId="TableText12LineChar">
    <w:name w:val="Table Text 1.2 Line Char"/>
    <w:basedOn w:val="TableTextChar"/>
    <w:link w:val="TableText12Line"/>
    <w:rsid w:val="00D30E8E"/>
    <w:rPr>
      <w:color w:val="000000" w:themeColor="text1"/>
      <w:sz w:val="18"/>
      <w:szCs w:val="22"/>
      <w:lang w:eastAsia="en-US"/>
    </w:rPr>
  </w:style>
  <w:style w:type="paragraph" w:customStyle="1" w:styleId="BulletOneJLL">
    <w:name w:val="Bullet One_JLL"/>
    <w:basedOn w:val="Normal"/>
    <w:qFormat/>
    <w:rsid w:val="008A5286"/>
    <w:pPr>
      <w:spacing w:after="120" w:line="276" w:lineRule="auto"/>
      <w:ind w:left="360" w:hanging="360"/>
    </w:pPr>
    <w:rPr>
      <w:rFonts w:ascii="Source Sans Pro" w:eastAsia="Source Sans Pro" w:hAnsi="Source Sans Pro"/>
      <w:sz w:val="22"/>
    </w:rPr>
  </w:style>
  <w:style w:type="paragraph" w:customStyle="1" w:styleId="BodyTextJLL">
    <w:name w:val="Body Text_JLL"/>
    <w:basedOn w:val="Normal"/>
    <w:uiPriority w:val="5"/>
    <w:qFormat/>
    <w:rsid w:val="000C2018"/>
    <w:pPr>
      <w:spacing w:after="120" w:line="276" w:lineRule="auto"/>
    </w:pPr>
    <w:rPr>
      <w:rFonts w:ascii="Source Sans Pro" w:eastAsiaTheme="minorHAnsi" w:hAnsi="Source Sans Pro" w:cstheme="minorBidi"/>
      <w:sz w:val="22"/>
    </w:rPr>
  </w:style>
  <w:style w:type="table" w:customStyle="1" w:styleId="JLLStandard">
    <w:name w:val="JLL_Standard"/>
    <w:basedOn w:val="TableNormal"/>
    <w:uiPriority w:val="23"/>
    <w:rsid w:val="000C2018"/>
    <w:rPr>
      <w:rFonts w:ascii="Source Sans Pro" w:eastAsiaTheme="minorHAnsi" w:hAnsi="Source Sans Pro" w:cstheme="minorBidi"/>
      <w:sz w:val="19"/>
      <w:szCs w:val="22"/>
      <w:lang w:eastAsia="en-US"/>
    </w:rPr>
    <w:tblPr>
      <w:tblStyleRowBandSize w:val="1"/>
      <w:tblInd w:w="108" w:type="dxa"/>
      <w:tblBorders>
        <w:insideV w:val="single" w:sz="4" w:space="0" w:color="FFFFFF"/>
      </w:tblBorders>
    </w:tblPr>
    <w:tblStylePr w:type="firstRow">
      <w:rPr>
        <w:rFonts w:ascii="Source Sans Pro SemiBold" w:hAnsi="Source Sans Pro SemiBold"/>
        <w:color w:val="FFFFFF"/>
        <w:sz w:val="19"/>
      </w:rPr>
      <w:tblPr/>
      <w:tcPr>
        <w:tcBorders>
          <w:top w:val="nil"/>
          <w:left w:val="nil"/>
          <w:bottom w:val="nil"/>
          <w:right w:val="nil"/>
          <w:insideH w:val="nil"/>
          <w:insideV w:val="nil"/>
          <w:tl2br w:val="nil"/>
          <w:tr2bl w:val="nil"/>
        </w:tcBorders>
        <w:shd w:val="clear" w:color="auto" w:fill="E30613"/>
      </w:tcPr>
    </w:tblStylePr>
    <w:tblStylePr w:type="band1Horz">
      <w:tblPr/>
      <w:tcPr>
        <w:tcBorders>
          <w:top w:val="nil"/>
          <w:left w:val="nil"/>
          <w:bottom w:val="nil"/>
          <w:right w:val="nil"/>
          <w:insideH w:val="nil"/>
          <w:insideV w:val="nil"/>
          <w:tl2br w:val="nil"/>
          <w:tr2bl w:val="nil"/>
        </w:tcBorders>
        <w:shd w:val="clear" w:color="auto" w:fill="D6D6D6"/>
      </w:tcPr>
    </w:tblStylePr>
    <w:tblStylePr w:type="band2Horz">
      <w:tblPr/>
      <w:tcPr>
        <w:tcBorders>
          <w:top w:val="nil"/>
          <w:left w:val="nil"/>
          <w:bottom w:val="nil"/>
          <w:right w:val="nil"/>
          <w:insideH w:val="nil"/>
          <w:insideV w:val="nil"/>
          <w:tl2br w:val="nil"/>
          <w:tr2bl w:val="nil"/>
        </w:tcBorders>
        <w:shd w:val="clear" w:color="auto" w:fill="F2F2F2"/>
      </w:tcPr>
    </w:tblStylePr>
  </w:style>
  <w:style w:type="paragraph" w:customStyle="1" w:styleId="BulletOneNoSpaceAfterJLL">
    <w:name w:val="Bullet One (No Space After)_JLL"/>
    <w:basedOn w:val="BulletOneJLL"/>
    <w:next w:val="Normal"/>
    <w:uiPriority w:val="8"/>
    <w:qFormat/>
    <w:rsid w:val="00D44993"/>
    <w:pPr>
      <w:numPr>
        <w:numId w:val="41"/>
      </w:numPr>
      <w:spacing w:after="0"/>
      <w:ind w:left="357" w:hanging="357"/>
    </w:pPr>
    <w:rPr>
      <w:rFonts w:eastAsiaTheme="minorHAnsi" w:cstheme="minorBidi"/>
    </w:rPr>
  </w:style>
  <w:style w:type="numbering" w:customStyle="1" w:styleId="Style1">
    <w:name w:val="Style1"/>
    <w:uiPriority w:val="99"/>
    <w:rsid w:val="00D44993"/>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30994">
      <w:bodyDiv w:val="1"/>
      <w:marLeft w:val="0"/>
      <w:marRight w:val="0"/>
      <w:marTop w:val="0"/>
      <w:marBottom w:val="0"/>
      <w:divBdr>
        <w:top w:val="none" w:sz="0" w:space="0" w:color="auto"/>
        <w:left w:val="none" w:sz="0" w:space="0" w:color="auto"/>
        <w:bottom w:val="none" w:sz="0" w:space="0" w:color="auto"/>
        <w:right w:val="none" w:sz="0" w:space="0" w:color="auto"/>
      </w:divBdr>
    </w:div>
    <w:div w:id="293216491">
      <w:bodyDiv w:val="1"/>
      <w:marLeft w:val="0"/>
      <w:marRight w:val="0"/>
      <w:marTop w:val="0"/>
      <w:marBottom w:val="0"/>
      <w:divBdr>
        <w:top w:val="none" w:sz="0" w:space="0" w:color="auto"/>
        <w:left w:val="none" w:sz="0" w:space="0" w:color="auto"/>
        <w:bottom w:val="none" w:sz="0" w:space="0" w:color="auto"/>
        <w:right w:val="none" w:sz="0" w:space="0" w:color="auto"/>
      </w:divBdr>
    </w:div>
    <w:div w:id="318849921">
      <w:bodyDiv w:val="1"/>
      <w:marLeft w:val="0"/>
      <w:marRight w:val="0"/>
      <w:marTop w:val="0"/>
      <w:marBottom w:val="0"/>
      <w:divBdr>
        <w:top w:val="none" w:sz="0" w:space="0" w:color="auto"/>
        <w:left w:val="none" w:sz="0" w:space="0" w:color="auto"/>
        <w:bottom w:val="none" w:sz="0" w:space="0" w:color="auto"/>
        <w:right w:val="none" w:sz="0" w:space="0" w:color="auto"/>
      </w:divBdr>
    </w:div>
    <w:div w:id="396242947">
      <w:bodyDiv w:val="1"/>
      <w:marLeft w:val="0"/>
      <w:marRight w:val="0"/>
      <w:marTop w:val="0"/>
      <w:marBottom w:val="0"/>
      <w:divBdr>
        <w:top w:val="none" w:sz="0" w:space="0" w:color="auto"/>
        <w:left w:val="none" w:sz="0" w:space="0" w:color="auto"/>
        <w:bottom w:val="none" w:sz="0" w:space="0" w:color="auto"/>
        <w:right w:val="none" w:sz="0" w:space="0" w:color="auto"/>
      </w:divBdr>
    </w:div>
    <w:div w:id="723913648">
      <w:bodyDiv w:val="1"/>
      <w:marLeft w:val="0"/>
      <w:marRight w:val="0"/>
      <w:marTop w:val="0"/>
      <w:marBottom w:val="0"/>
      <w:divBdr>
        <w:top w:val="none" w:sz="0" w:space="0" w:color="auto"/>
        <w:left w:val="none" w:sz="0" w:space="0" w:color="auto"/>
        <w:bottom w:val="none" w:sz="0" w:space="0" w:color="auto"/>
        <w:right w:val="none" w:sz="0" w:space="0" w:color="auto"/>
      </w:divBdr>
    </w:div>
    <w:div w:id="755439558">
      <w:bodyDiv w:val="1"/>
      <w:marLeft w:val="0"/>
      <w:marRight w:val="0"/>
      <w:marTop w:val="0"/>
      <w:marBottom w:val="0"/>
      <w:divBdr>
        <w:top w:val="none" w:sz="0" w:space="0" w:color="auto"/>
        <w:left w:val="none" w:sz="0" w:space="0" w:color="auto"/>
        <w:bottom w:val="none" w:sz="0" w:space="0" w:color="auto"/>
        <w:right w:val="none" w:sz="0" w:space="0" w:color="auto"/>
      </w:divBdr>
    </w:div>
    <w:div w:id="1030228505">
      <w:bodyDiv w:val="1"/>
      <w:marLeft w:val="0"/>
      <w:marRight w:val="0"/>
      <w:marTop w:val="0"/>
      <w:marBottom w:val="0"/>
      <w:divBdr>
        <w:top w:val="none" w:sz="0" w:space="0" w:color="auto"/>
        <w:left w:val="none" w:sz="0" w:space="0" w:color="auto"/>
        <w:bottom w:val="none" w:sz="0" w:space="0" w:color="auto"/>
        <w:right w:val="none" w:sz="0" w:space="0" w:color="auto"/>
      </w:divBdr>
    </w:div>
    <w:div w:id="1034841176">
      <w:bodyDiv w:val="1"/>
      <w:marLeft w:val="0"/>
      <w:marRight w:val="0"/>
      <w:marTop w:val="0"/>
      <w:marBottom w:val="0"/>
      <w:divBdr>
        <w:top w:val="none" w:sz="0" w:space="0" w:color="auto"/>
        <w:left w:val="none" w:sz="0" w:space="0" w:color="auto"/>
        <w:bottom w:val="none" w:sz="0" w:space="0" w:color="auto"/>
        <w:right w:val="none" w:sz="0" w:space="0" w:color="auto"/>
      </w:divBdr>
    </w:div>
    <w:div w:id="1504122649">
      <w:bodyDiv w:val="1"/>
      <w:marLeft w:val="0"/>
      <w:marRight w:val="0"/>
      <w:marTop w:val="0"/>
      <w:marBottom w:val="0"/>
      <w:divBdr>
        <w:top w:val="none" w:sz="0" w:space="0" w:color="auto"/>
        <w:left w:val="none" w:sz="0" w:space="0" w:color="auto"/>
        <w:bottom w:val="none" w:sz="0" w:space="0" w:color="auto"/>
        <w:right w:val="none" w:sz="0" w:space="0" w:color="auto"/>
      </w:divBdr>
    </w:div>
    <w:div w:id="1626497628">
      <w:bodyDiv w:val="1"/>
      <w:marLeft w:val="0"/>
      <w:marRight w:val="0"/>
      <w:marTop w:val="0"/>
      <w:marBottom w:val="0"/>
      <w:divBdr>
        <w:top w:val="none" w:sz="0" w:space="0" w:color="auto"/>
        <w:left w:val="none" w:sz="0" w:space="0" w:color="auto"/>
        <w:bottom w:val="none" w:sz="0" w:space="0" w:color="auto"/>
        <w:right w:val="none" w:sz="0" w:space="0" w:color="auto"/>
      </w:divBdr>
    </w:div>
    <w:div w:id="1783645875">
      <w:bodyDiv w:val="1"/>
      <w:marLeft w:val="0"/>
      <w:marRight w:val="0"/>
      <w:marTop w:val="0"/>
      <w:marBottom w:val="0"/>
      <w:divBdr>
        <w:top w:val="none" w:sz="0" w:space="0" w:color="auto"/>
        <w:left w:val="none" w:sz="0" w:space="0" w:color="auto"/>
        <w:bottom w:val="none" w:sz="0" w:space="0" w:color="auto"/>
        <w:right w:val="none" w:sz="0" w:space="0" w:color="auto"/>
      </w:divBdr>
    </w:div>
    <w:div w:id="1812360484">
      <w:bodyDiv w:val="1"/>
      <w:marLeft w:val="0"/>
      <w:marRight w:val="0"/>
      <w:marTop w:val="0"/>
      <w:marBottom w:val="0"/>
      <w:divBdr>
        <w:top w:val="none" w:sz="0" w:space="0" w:color="auto"/>
        <w:left w:val="none" w:sz="0" w:space="0" w:color="auto"/>
        <w:bottom w:val="none" w:sz="0" w:space="0" w:color="auto"/>
        <w:right w:val="none" w:sz="0" w:space="0" w:color="auto"/>
      </w:divBdr>
    </w:div>
    <w:div w:id="189773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b:Sources>
</file>

<file path=customXml/item3.xml><?xml version="1.0" encoding="utf-8"?>
<ct:contentTypeSchema xmlns:ct="http://schemas.microsoft.com/office/2006/metadata/contentType" xmlns:ma="http://schemas.microsoft.com/office/2006/metadata/properties/metaAttributes" ct:_="" ma:_="" ma:contentTypeName="Document" ma:contentTypeID="0x0101001D914E3085172C409EC920113DA6FE28" ma:contentTypeVersion="0" ma:contentTypeDescription="Create a new document." ma:contentTypeScope="" ma:versionID="80da90646fdc021d7d12eca189f2ab7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root>
  <client/>
  <inspection_date/>
  <core_ref>Enter core reference /short property address, excl. postcode</core_ref>
</root>
</file>

<file path=customXml/itemProps1.xml><?xml version="1.0" encoding="utf-8"?>
<ds:datastoreItem xmlns:ds="http://schemas.openxmlformats.org/officeDocument/2006/customXml" ds:itemID="{B1040BC0-1BE3-41E8-9DFC-DFF36E1446E3}">
  <ds:schemaRefs>
    <ds:schemaRef ds:uri="http://schemas.microsoft.com/sharepoint/v3/contenttype/forms"/>
  </ds:schemaRefs>
</ds:datastoreItem>
</file>

<file path=customXml/itemProps2.xml><?xml version="1.0" encoding="utf-8"?>
<ds:datastoreItem xmlns:ds="http://schemas.openxmlformats.org/officeDocument/2006/customXml" ds:itemID="{91FBCF76-9206-4D7A-B073-0FB8B7583E13}">
  <ds:schemaRefs>
    <ds:schemaRef ds:uri="http://schemas.openxmlformats.org/officeDocument/2006/bibliography"/>
  </ds:schemaRefs>
</ds:datastoreItem>
</file>

<file path=customXml/itemProps3.xml><?xml version="1.0" encoding="utf-8"?>
<ds:datastoreItem xmlns:ds="http://schemas.openxmlformats.org/officeDocument/2006/customXml" ds:itemID="{4DCEE8C2-71E4-4BFB-88EB-8372136DC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82DE67D-ACB3-4F7B-A0EA-0F4631438990}">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2182</Words>
  <Characters>12443</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Leaver, Peter</cp:lastModifiedBy>
  <cp:revision>2</cp:revision>
  <cp:lastPrinted>2022-12-14T17:04:00Z</cp:lastPrinted>
  <dcterms:created xsi:type="dcterms:W3CDTF">2022-12-19T07:30:00Z</dcterms:created>
  <dcterms:modified xsi:type="dcterms:W3CDTF">2022-12-19T07:30:00Z</dcterms:modified>
</cp:coreProperties>
</file>