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53"/>
        <w:gridCol w:w="234"/>
        <w:gridCol w:w="447"/>
        <w:gridCol w:w="240"/>
        <w:gridCol w:w="531"/>
        <w:gridCol w:w="318"/>
        <w:gridCol w:w="11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FBFA99"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8DE4D76"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42D61DC4" w:rsidR="00AE2F13" w:rsidRDefault="00AE2F13" w:rsidP="00644675">
            <w:pPr>
              <w:ind w:left="-3" w:firstLine="3"/>
              <w:rPr>
                <w:rFonts w:ascii="Verdana" w:hAnsi="Verdana" w:cs="Arial"/>
                <w:sz w:val="20"/>
              </w:rPr>
            </w:pPr>
            <w:r>
              <w:rPr>
                <w:rFonts w:ascii="Verdana" w:hAnsi="Verdana" w:cs="Arial"/>
                <w:sz w:val="20"/>
              </w:rPr>
              <w:t> </w:t>
            </w:r>
            <w:r w:rsidR="000A27D4">
              <w:rPr>
                <w:rFonts w:ascii="Verdana" w:hAnsi="Verdana" w:cs="Arial"/>
                <w:sz w:val="20"/>
              </w:rPr>
              <w:t xml:space="preserve">Jonathan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366E8599" w:rsidR="00AE2F13" w:rsidRDefault="000A27D4" w:rsidP="00644675">
            <w:pPr>
              <w:rPr>
                <w:rFonts w:ascii="Verdana" w:hAnsi="Verdana" w:cs="Arial"/>
                <w:sz w:val="20"/>
              </w:rPr>
            </w:pPr>
            <w:r>
              <w:rPr>
                <w:rFonts w:ascii="Verdana" w:hAnsi="Verdana" w:cs="Arial"/>
                <w:sz w:val="20"/>
              </w:rPr>
              <w:t>Sam</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089471F3" w:rsidR="00AE2F13" w:rsidRDefault="000A27D4" w:rsidP="00644675">
            <w:pPr>
              <w:ind w:left="-3" w:firstLine="3"/>
              <w:rPr>
                <w:rFonts w:ascii="Verdana" w:hAnsi="Verdana" w:cs="Arial"/>
                <w:sz w:val="20"/>
              </w:rPr>
            </w:pPr>
            <w:r>
              <w:rPr>
                <w:rFonts w:ascii="Verdana" w:hAnsi="Verdana" w:cs="Arial"/>
                <w:sz w:val="20"/>
              </w:rPr>
              <w:t>Tomlinson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5E5F4986" w:rsidR="00AE2F13" w:rsidRDefault="00AE2F13" w:rsidP="00644675">
            <w:pPr>
              <w:ind w:left="-3" w:firstLine="3"/>
              <w:rPr>
                <w:rFonts w:ascii="Verdana" w:hAnsi="Verdana" w:cs="Arial"/>
                <w:sz w:val="20"/>
              </w:rPr>
            </w:pP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4CED3ED6" w:rsidR="00AE2F13" w:rsidRDefault="000A27D4" w:rsidP="00644675">
            <w:pPr>
              <w:rPr>
                <w:rFonts w:ascii="Verdana" w:hAnsi="Verdana" w:cs="Arial"/>
                <w:sz w:val="20"/>
              </w:rPr>
            </w:pPr>
            <w:r>
              <w:rPr>
                <w:rFonts w:ascii="Verdana" w:hAnsi="Verdana" w:cs="Arial"/>
                <w:sz w:val="20"/>
              </w:rPr>
              <w:t>Silcocks</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449075A1"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05D1B2A"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50365C9" w:rsidR="00AE2F13" w:rsidRDefault="000A27D4" w:rsidP="00644675">
            <w:pPr>
              <w:ind w:left="-3" w:firstLine="3"/>
              <w:rPr>
                <w:rFonts w:ascii="Verdana" w:hAnsi="Verdana" w:cs="Arial"/>
                <w:sz w:val="20"/>
              </w:rPr>
            </w:pPr>
            <w:r>
              <w:rPr>
                <w:rFonts w:ascii="Verdana" w:hAnsi="Verdana" w:cs="Arial"/>
                <w:sz w:val="20"/>
              </w:rPr>
              <w:t>Heyford Developments</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35C2185C"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Harris Lamb</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6C62F34"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c/o Agent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D4BA3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Grosvenor House</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3D6F64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75-76 Francis Road</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80AB272"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Edgbaston</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1DAC2769"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Birmingham</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7839C44"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B16 8SP</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BEB7DAF"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0121 455 9455</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15D7B58B" w:rsidR="00AE2F13" w:rsidRDefault="00AE2F13" w:rsidP="00644675">
            <w:pPr>
              <w:rPr>
                <w:rFonts w:ascii="Verdana" w:hAnsi="Verdana" w:cs="Arial"/>
                <w:sz w:val="20"/>
              </w:rPr>
            </w:pPr>
            <w:r>
              <w:rPr>
                <w:rFonts w:ascii="Verdana" w:hAnsi="Verdana" w:cs="Arial"/>
                <w:sz w:val="20"/>
              </w:rPr>
              <w:t> </w:t>
            </w:r>
            <w:r w:rsidR="000A27D4">
              <w:rPr>
                <w:rFonts w:ascii="Verdana" w:hAnsi="Verdana" w:cs="Arial"/>
                <w:sz w:val="20"/>
              </w:rPr>
              <w:t>sam.silcocks</w:t>
            </w:r>
            <w:r w:rsidR="00FE0126">
              <w:rPr>
                <w:rFonts w:ascii="Verdana" w:hAnsi="Verdana" w:cs="Arial"/>
                <w:sz w:val="20"/>
              </w:rPr>
              <w:t>@harrislamb.com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4DC75D98" w:rsidR="00AE2F13" w:rsidRDefault="00AE2F13" w:rsidP="00785957">
            <w:pPr>
              <w:jc w:val="cente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04525157" w:rsidR="00AE2F13" w:rsidRDefault="00DE5B94" w:rsidP="00691BFB">
            <w:pPr>
              <w:jc w:val="center"/>
              <w:rPr>
                <w:rFonts w:ascii="Verdana" w:hAnsi="Verdana" w:cs="Arial"/>
                <w:sz w:val="20"/>
              </w:rPr>
            </w:pPr>
            <w:r>
              <w:rPr>
                <w:rFonts w:ascii="Verdana" w:hAnsi="Verdana" w:cs="Arial"/>
                <w:sz w:val="20"/>
              </w:rPr>
              <w:t>DS2</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91BFB">
            <w:pPr>
              <w:jc w:val="cente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1C54C6">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0B20819" w14:textId="010D655C" w:rsidR="00AE2F13" w:rsidRDefault="00DE5B94" w:rsidP="00785957">
            <w:pPr>
              <w:jc w:val="center"/>
              <w:rPr>
                <w:rFonts w:ascii="Verdana" w:hAnsi="Verdana" w:cs="Arial"/>
                <w:sz w:val="20"/>
              </w:rPr>
            </w:pPr>
            <w:r>
              <w:rPr>
                <w:rFonts w:ascii="Verdana" w:hAnsi="Verdana" w:cs="Arial"/>
                <w:sz w:val="32"/>
                <w:szCs w:val="4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785957">
            <w:pPr>
              <w:jc w:val="center"/>
              <w:rPr>
                <w:rFonts w:ascii="Verdana" w:hAnsi="Verdana" w:cs="Arial"/>
                <w:sz w:val="20"/>
              </w:rPr>
            </w:pPr>
          </w:p>
        </w:tc>
      </w:tr>
      <w:tr w:rsidR="00AE2F13" w14:paraId="4BC6F467" w14:textId="77777777" w:rsidTr="001C54C6">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1C54C6">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1D4BA" w14:textId="77777777" w:rsidR="00AE2F13" w:rsidRDefault="00AE2F13" w:rsidP="00785957">
            <w:pPr>
              <w:jc w:val="cente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21B41C56" w:rsidR="00AE2F13" w:rsidRDefault="00DE5B94" w:rsidP="00785957">
            <w:pPr>
              <w:jc w:val="center"/>
              <w:rPr>
                <w:rFonts w:ascii="Verdana" w:hAnsi="Verdana" w:cs="Arial"/>
                <w:sz w:val="20"/>
              </w:rPr>
            </w:pPr>
            <w:r>
              <w:rPr>
                <w:rFonts w:ascii="Verdana" w:hAnsi="Verdana" w:cs="Arial"/>
                <w:sz w:val="32"/>
                <w:szCs w:val="40"/>
              </w:rPr>
              <w:sym w:font="Wingdings" w:char="F0FC"/>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3FFC16D1" w:rsidR="00AE2F13" w:rsidRDefault="00DE5B94" w:rsidP="00785957">
                                  <w:pPr>
                                    <w:jc w:val="center"/>
                                  </w:pPr>
                                  <w:r>
                                    <w:rPr>
                                      <w:rFonts w:ascii="Verdana" w:hAnsi="Verdana" w:cs="Arial"/>
                                      <w:sz w:val="32"/>
                                      <w:szCs w:val="40"/>
                                    </w:rPr>
                                    <w:sym w:font="Wingdings" w:char="F0FC"/>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3FFC16D1" w:rsidR="00AE2F13" w:rsidRDefault="00DE5B94" w:rsidP="00785957">
                            <w:pPr>
                              <w:jc w:val="center"/>
                            </w:pPr>
                            <w:r>
                              <w:rPr>
                                <w:rFonts w:ascii="Verdana" w:hAnsi="Verdana" w:cs="Arial"/>
                                <w:sz w:val="32"/>
                                <w:szCs w:val="40"/>
                              </w:rPr>
                              <w:sym w:font="Wingdings" w:char="F0FC"/>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785957">
                                  <w:pPr>
                                    <w:jc w:val="center"/>
                                  </w:pP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785957">
                            <w:pPr>
                              <w:jc w:val="center"/>
                            </w:pP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4CE82" w14:textId="77777777" w:rsidR="00AE2F13" w:rsidRPr="00785957" w:rsidRDefault="00AE2F13" w:rsidP="00644675">
            <w:pPr>
              <w:rPr>
                <w:rFonts w:ascii="Verdana" w:hAnsi="Verdana" w:cs="Arial"/>
                <w:sz w:val="20"/>
                <w:szCs w:val="20"/>
              </w:rPr>
            </w:pPr>
          </w:p>
          <w:p w14:paraId="3B331809" w14:textId="53C79EE2" w:rsidR="00AE2F13" w:rsidRDefault="00DE5B94" w:rsidP="00644675">
            <w:pPr>
              <w:rPr>
                <w:rFonts w:ascii="Verdana" w:hAnsi="Verdana" w:cs="Arial"/>
                <w:sz w:val="20"/>
                <w:szCs w:val="20"/>
              </w:rPr>
            </w:pPr>
            <w:r>
              <w:rPr>
                <w:rFonts w:ascii="Verdana" w:hAnsi="Verdana" w:cs="Arial"/>
                <w:sz w:val="20"/>
                <w:szCs w:val="20"/>
              </w:rPr>
              <w:t>Policy DS2 puts in place a series of potentially undeliverable requirements for Green Belt compensation.</w:t>
            </w:r>
          </w:p>
          <w:p w14:paraId="2C2730D3" w14:textId="7688D7A1" w:rsidR="00DE5B94" w:rsidRDefault="00DE5B94" w:rsidP="00644675">
            <w:pPr>
              <w:rPr>
                <w:rFonts w:ascii="Verdana" w:hAnsi="Verdana" w:cs="Arial"/>
                <w:sz w:val="20"/>
                <w:szCs w:val="20"/>
              </w:rPr>
            </w:pPr>
          </w:p>
          <w:p w14:paraId="61AE418E" w14:textId="48C39969" w:rsidR="004C3C96" w:rsidRDefault="00DE5B94" w:rsidP="00644675">
            <w:pPr>
              <w:rPr>
                <w:rFonts w:ascii="Verdana" w:hAnsi="Verdana" w:cs="Arial"/>
                <w:sz w:val="20"/>
                <w:szCs w:val="20"/>
              </w:rPr>
            </w:pPr>
            <w:r>
              <w:rPr>
                <w:rFonts w:ascii="Verdana" w:hAnsi="Verdana" w:cs="Arial"/>
                <w:sz w:val="20"/>
                <w:szCs w:val="20"/>
              </w:rPr>
              <w:t xml:space="preserve">The </w:t>
            </w:r>
            <w:r w:rsidR="000A27D4">
              <w:rPr>
                <w:rFonts w:ascii="Verdana" w:hAnsi="Verdana" w:cs="Arial"/>
                <w:sz w:val="20"/>
                <w:szCs w:val="20"/>
              </w:rPr>
              <w:t xml:space="preserve">National Planning Policy </w:t>
            </w:r>
            <w:r>
              <w:rPr>
                <w:rFonts w:ascii="Verdana" w:hAnsi="Verdana" w:cs="Arial"/>
                <w:sz w:val="20"/>
                <w:szCs w:val="20"/>
              </w:rPr>
              <w:t xml:space="preserve">Framework advises at </w:t>
            </w:r>
            <w:r w:rsidR="000A27D4">
              <w:rPr>
                <w:rFonts w:ascii="Verdana" w:hAnsi="Verdana" w:cs="Arial"/>
                <w:sz w:val="20"/>
                <w:szCs w:val="20"/>
              </w:rPr>
              <w:t>P</w:t>
            </w:r>
            <w:r>
              <w:rPr>
                <w:rFonts w:ascii="Verdana" w:hAnsi="Verdana" w:cs="Arial"/>
                <w:sz w:val="20"/>
                <w:szCs w:val="20"/>
              </w:rPr>
              <w:t>aragraph 1</w:t>
            </w:r>
            <w:r w:rsidR="000A27D4">
              <w:rPr>
                <w:rFonts w:ascii="Verdana" w:hAnsi="Verdana" w:cs="Arial"/>
                <w:sz w:val="20"/>
                <w:szCs w:val="20"/>
              </w:rPr>
              <w:t>4</w:t>
            </w:r>
            <w:r>
              <w:rPr>
                <w:rFonts w:ascii="Verdana" w:hAnsi="Verdana" w:cs="Arial"/>
                <w:sz w:val="20"/>
                <w:szCs w:val="20"/>
              </w:rPr>
              <w:t>2 that Local Plans should set out ways in which the impact of removing land from the Green Belt can be offset through compensatory improvements to the environmental quality and accessibility of the remaining Green Belt land.</w:t>
            </w:r>
            <w:r w:rsidR="004C3C96">
              <w:rPr>
                <w:rFonts w:ascii="Verdana" w:hAnsi="Verdana" w:cs="Arial"/>
                <w:sz w:val="20"/>
                <w:szCs w:val="20"/>
              </w:rPr>
              <w:t xml:space="preserve">  This is not achieved by </w:t>
            </w:r>
            <w:r w:rsidR="000A27D4">
              <w:rPr>
                <w:rFonts w:ascii="Verdana" w:hAnsi="Verdana" w:cs="Arial"/>
                <w:sz w:val="20"/>
                <w:szCs w:val="20"/>
              </w:rPr>
              <w:t>P</w:t>
            </w:r>
            <w:r w:rsidR="004C3C96">
              <w:rPr>
                <w:rFonts w:ascii="Verdana" w:hAnsi="Verdana" w:cs="Arial"/>
                <w:sz w:val="20"/>
                <w:szCs w:val="20"/>
              </w:rPr>
              <w:t>olicy DS2.  Policy DS2 is ambiguous and simply suggests that S.106 agreements will be used to secure “compensatory improvements” to the environmental quality</w:t>
            </w:r>
            <w:r w:rsidR="000A27D4">
              <w:rPr>
                <w:rFonts w:ascii="Verdana" w:hAnsi="Verdana" w:cs="Arial"/>
                <w:sz w:val="20"/>
                <w:szCs w:val="20"/>
              </w:rPr>
              <w:t xml:space="preserve"> of land that remains in the Green Belt</w:t>
            </w:r>
            <w:r w:rsidR="004C3C96">
              <w:rPr>
                <w:rFonts w:ascii="Verdana" w:hAnsi="Verdana" w:cs="Arial"/>
                <w:sz w:val="20"/>
                <w:szCs w:val="20"/>
              </w:rPr>
              <w:t>.</w:t>
            </w:r>
            <w:r w:rsidR="00B33001">
              <w:rPr>
                <w:rFonts w:ascii="Verdana" w:hAnsi="Verdana" w:cs="Arial"/>
                <w:sz w:val="20"/>
                <w:szCs w:val="20"/>
              </w:rPr>
              <w:t xml:space="preserve"> </w:t>
            </w:r>
            <w:r w:rsidR="004C3C96">
              <w:rPr>
                <w:rFonts w:ascii="Verdana" w:hAnsi="Verdana" w:cs="Arial"/>
                <w:sz w:val="20"/>
                <w:szCs w:val="20"/>
              </w:rPr>
              <w:t>What constitutes a “compensatory improvement” is not clear</w:t>
            </w:r>
            <w:r w:rsidR="00B33001">
              <w:rPr>
                <w:rFonts w:ascii="Verdana" w:hAnsi="Verdana" w:cs="Arial"/>
                <w:sz w:val="20"/>
                <w:szCs w:val="20"/>
              </w:rPr>
              <w:t xml:space="preserve">, </w:t>
            </w:r>
            <w:r w:rsidR="000158E4">
              <w:rPr>
                <w:rFonts w:ascii="Verdana" w:hAnsi="Verdana" w:cs="Arial"/>
                <w:sz w:val="20"/>
                <w:szCs w:val="20"/>
              </w:rPr>
              <w:t xml:space="preserve">which </w:t>
            </w:r>
            <w:r w:rsidR="00B33001">
              <w:rPr>
                <w:rFonts w:ascii="Verdana" w:hAnsi="Verdana" w:cs="Arial"/>
                <w:sz w:val="20"/>
                <w:szCs w:val="20"/>
              </w:rPr>
              <w:t xml:space="preserve">provides no certainty to developers. </w:t>
            </w:r>
          </w:p>
          <w:p w14:paraId="325F04EF" w14:textId="024D18D3" w:rsidR="004C3C96" w:rsidRDefault="004C3C96" w:rsidP="00644675">
            <w:pPr>
              <w:rPr>
                <w:rFonts w:ascii="Verdana" w:hAnsi="Verdana" w:cs="Arial"/>
                <w:sz w:val="20"/>
                <w:szCs w:val="20"/>
              </w:rPr>
            </w:pPr>
          </w:p>
          <w:p w14:paraId="62BDFB84" w14:textId="589683DC" w:rsidR="004C3C96" w:rsidRDefault="000A27D4" w:rsidP="00644675">
            <w:pPr>
              <w:rPr>
                <w:rFonts w:ascii="Verdana" w:hAnsi="Verdana" w:cs="Arial"/>
                <w:sz w:val="20"/>
                <w:szCs w:val="20"/>
              </w:rPr>
            </w:pPr>
            <w:r>
              <w:rPr>
                <w:rFonts w:ascii="Verdana" w:hAnsi="Verdana" w:cs="Arial"/>
                <w:sz w:val="20"/>
                <w:szCs w:val="20"/>
              </w:rPr>
              <w:t>Similarly, i</w:t>
            </w:r>
            <w:r w:rsidR="004C3C96">
              <w:rPr>
                <w:rFonts w:ascii="Verdana" w:hAnsi="Verdana" w:cs="Arial"/>
                <w:sz w:val="20"/>
                <w:szCs w:val="20"/>
              </w:rPr>
              <w:t>t is also unclear how the local authority can be sure that the applicants have control over any adjoining land required to deliver the compensatory improvements</w:t>
            </w:r>
            <w:r>
              <w:rPr>
                <w:rFonts w:ascii="Verdana" w:hAnsi="Verdana" w:cs="Arial"/>
                <w:sz w:val="20"/>
                <w:szCs w:val="20"/>
              </w:rPr>
              <w:t xml:space="preserve"> in the retained parts of the Green Belt</w:t>
            </w:r>
            <w:r w:rsidR="004C3C96">
              <w:rPr>
                <w:rFonts w:ascii="Verdana" w:hAnsi="Verdana" w:cs="Arial"/>
                <w:sz w:val="20"/>
                <w:szCs w:val="20"/>
              </w:rPr>
              <w:t xml:space="preserve">.  If the land </w:t>
            </w:r>
            <w:r w:rsidR="000158E4">
              <w:rPr>
                <w:rFonts w:ascii="Verdana" w:hAnsi="Verdana" w:cs="Arial"/>
                <w:sz w:val="20"/>
                <w:szCs w:val="20"/>
              </w:rPr>
              <w:t xml:space="preserve">is </w:t>
            </w:r>
            <w:r w:rsidR="004C3C96">
              <w:rPr>
                <w:rFonts w:ascii="Verdana" w:hAnsi="Verdana" w:cs="Arial"/>
                <w:sz w:val="20"/>
                <w:szCs w:val="20"/>
              </w:rPr>
              <w:t xml:space="preserve">not in </w:t>
            </w:r>
            <w:r w:rsidR="000158E4">
              <w:rPr>
                <w:rFonts w:ascii="Verdana" w:hAnsi="Verdana" w:cs="Arial"/>
                <w:sz w:val="20"/>
                <w:szCs w:val="20"/>
              </w:rPr>
              <w:t xml:space="preserve">the </w:t>
            </w:r>
            <w:r w:rsidR="004C3C96">
              <w:rPr>
                <w:rFonts w:ascii="Verdana" w:hAnsi="Verdana" w:cs="Arial"/>
                <w:sz w:val="20"/>
                <w:szCs w:val="20"/>
              </w:rPr>
              <w:t>control of an applicant</w:t>
            </w:r>
            <w:r w:rsidR="000158E4">
              <w:rPr>
                <w:rFonts w:ascii="Verdana" w:hAnsi="Verdana" w:cs="Arial"/>
                <w:sz w:val="20"/>
                <w:szCs w:val="20"/>
              </w:rPr>
              <w:t>,</w:t>
            </w:r>
            <w:r w:rsidR="004C3C96">
              <w:rPr>
                <w:rFonts w:ascii="Verdana" w:hAnsi="Verdana" w:cs="Arial"/>
                <w:sz w:val="20"/>
                <w:szCs w:val="20"/>
              </w:rPr>
              <w:t xml:space="preserve"> it cannot be subject to a S.106 agreement</w:t>
            </w:r>
            <w:r>
              <w:rPr>
                <w:rFonts w:ascii="Verdana" w:hAnsi="Verdana" w:cs="Arial"/>
                <w:sz w:val="20"/>
                <w:szCs w:val="20"/>
              </w:rPr>
              <w:t xml:space="preserve"> and the applicant will not be able to accord with this policy</w:t>
            </w:r>
            <w:r w:rsidR="004C3C96">
              <w:rPr>
                <w:rFonts w:ascii="Verdana" w:hAnsi="Verdana" w:cs="Arial"/>
                <w:sz w:val="20"/>
                <w:szCs w:val="20"/>
              </w:rPr>
              <w:t>.</w:t>
            </w:r>
          </w:p>
          <w:p w14:paraId="0376A07A" w14:textId="78F7254F" w:rsidR="004C3C96" w:rsidRDefault="004C3C96" w:rsidP="00644675">
            <w:pPr>
              <w:rPr>
                <w:rFonts w:ascii="Verdana" w:hAnsi="Verdana" w:cs="Arial"/>
                <w:sz w:val="20"/>
                <w:szCs w:val="20"/>
              </w:rPr>
            </w:pPr>
          </w:p>
          <w:p w14:paraId="3C5F425B" w14:textId="4DE6A7D9" w:rsidR="004C3C96" w:rsidRPr="00785957" w:rsidRDefault="004C3C96" w:rsidP="00644675">
            <w:pPr>
              <w:rPr>
                <w:rFonts w:ascii="Verdana" w:hAnsi="Verdana" w:cs="Arial"/>
                <w:sz w:val="20"/>
                <w:szCs w:val="20"/>
              </w:rPr>
            </w:pPr>
            <w:r>
              <w:rPr>
                <w:rFonts w:ascii="Verdana" w:hAnsi="Verdana" w:cs="Arial"/>
                <w:sz w:val="20"/>
                <w:szCs w:val="20"/>
              </w:rPr>
              <w:t>A simpler approach would be to use the “key requirements” of the various allocation</w:t>
            </w:r>
            <w:r w:rsidR="00B33001">
              <w:rPr>
                <w:rFonts w:ascii="Verdana" w:hAnsi="Verdana" w:cs="Arial"/>
                <w:sz w:val="20"/>
                <w:szCs w:val="20"/>
              </w:rPr>
              <w:t xml:space="preserve"> proformas</w:t>
            </w:r>
            <w:r>
              <w:rPr>
                <w:rFonts w:ascii="Verdana" w:hAnsi="Verdana" w:cs="Arial"/>
                <w:sz w:val="20"/>
                <w:szCs w:val="20"/>
              </w:rPr>
              <w:t xml:space="preserve"> to </w:t>
            </w:r>
            <w:r w:rsidR="00B33001">
              <w:rPr>
                <w:rFonts w:ascii="Verdana" w:hAnsi="Verdana" w:cs="Arial"/>
                <w:sz w:val="20"/>
                <w:szCs w:val="20"/>
              </w:rPr>
              <w:t>identify the specific</w:t>
            </w:r>
            <w:r>
              <w:rPr>
                <w:rFonts w:ascii="Verdana" w:hAnsi="Verdana" w:cs="Arial"/>
                <w:sz w:val="20"/>
                <w:szCs w:val="20"/>
              </w:rPr>
              <w:t xml:space="preserve"> Green Belt compensatory measures for each relevant allocation.  This will negate the need for policy DS2 and provide clarity for developers.</w:t>
            </w:r>
          </w:p>
          <w:p w14:paraId="322DDDB3" w14:textId="77777777" w:rsidR="00AE2F13" w:rsidRPr="00785957" w:rsidRDefault="00AE2F13" w:rsidP="00644675">
            <w:pPr>
              <w:rPr>
                <w:rFonts w:ascii="Verdana" w:hAnsi="Verdana" w:cs="Arial"/>
                <w:sz w:val="20"/>
                <w:szCs w:val="20"/>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Pr="00785957" w:rsidRDefault="00AE2F13" w:rsidP="00644675">
            <w:pPr>
              <w:rPr>
                <w:rFonts w:ascii="Verdana" w:hAnsi="Verdana" w:cs="Arial"/>
                <w:sz w:val="20"/>
                <w:szCs w:val="20"/>
              </w:rPr>
            </w:pPr>
          </w:p>
          <w:p w14:paraId="5B3668A8" w14:textId="77777777" w:rsidR="000A27D4" w:rsidRDefault="004C3C96" w:rsidP="00644675">
            <w:pPr>
              <w:rPr>
                <w:rFonts w:ascii="Verdana" w:hAnsi="Verdana" w:cs="Arial"/>
                <w:sz w:val="20"/>
                <w:szCs w:val="20"/>
              </w:rPr>
            </w:pPr>
            <w:r>
              <w:rPr>
                <w:rFonts w:ascii="Verdana" w:hAnsi="Verdana" w:cs="Arial"/>
                <w:sz w:val="20"/>
                <w:szCs w:val="20"/>
              </w:rPr>
              <w:t xml:space="preserve">Policy DS2 should be deleted.  The “key requirement” of the proformas for each of the allocations should be used to clearly set out any Green Belt compensatory measures that may be required as part of the development of any former Green Belt sites.  </w:t>
            </w:r>
            <w:r w:rsidR="000A27D4">
              <w:rPr>
                <w:rFonts w:ascii="Verdana" w:hAnsi="Verdana" w:cs="Arial"/>
                <w:sz w:val="20"/>
                <w:szCs w:val="20"/>
              </w:rPr>
              <w:t xml:space="preserve">This will also provide greater certainty over the capacity of the site.  </w:t>
            </w:r>
          </w:p>
          <w:p w14:paraId="01C32040" w14:textId="77777777" w:rsidR="000A27D4" w:rsidRDefault="000A27D4" w:rsidP="00644675">
            <w:pPr>
              <w:rPr>
                <w:rFonts w:ascii="Verdana" w:hAnsi="Verdana" w:cs="Arial"/>
                <w:sz w:val="20"/>
                <w:szCs w:val="20"/>
              </w:rPr>
            </w:pPr>
          </w:p>
          <w:p w14:paraId="773FE396" w14:textId="4CD72382" w:rsidR="00AE2F13" w:rsidRPr="00785957" w:rsidRDefault="004C3C96" w:rsidP="00644675">
            <w:pPr>
              <w:rPr>
                <w:rFonts w:ascii="Verdana" w:hAnsi="Verdana" w:cs="Arial"/>
                <w:sz w:val="20"/>
                <w:szCs w:val="20"/>
              </w:rPr>
            </w:pPr>
            <w:r>
              <w:rPr>
                <w:rFonts w:ascii="Verdana" w:hAnsi="Verdana" w:cs="Arial"/>
                <w:sz w:val="20"/>
                <w:szCs w:val="20"/>
              </w:rPr>
              <w:t xml:space="preserve">Policy DS2 is </w:t>
            </w:r>
            <w:r w:rsidR="000A27D4">
              <w:rPr>
                <w:rFonts w:ascii="Verdana" w:hAnsi="Verdana" w:cs="Arial"/>
                <w:sz w:val="20"/>
                <w:szCs w:val="20"/>
              </w:rPr>
              <w:t xml:space="preserve">currently </w:t>
            </w:r>
            <w:r>
              <w:rPr>
                <w:rFonts w:ascii="Verdana" w:hAnsi="Verdana" w:cs="Arial"/>
                <w:sz w:val="20"/>
                <w:szCs w:val="20"/>
              </w:rPr>
              <w:t>unclear</w:t>
            </w:r>
            <w:r w:rsidR="000158E4">
              <w:rPr>
                <w:rFonts w:ascii="Verdana" w:hAnsi="Verdana" w:cs="Arial"/>
                <w:sz w:val="20"/>
                <w:szCs w:val="20"/>
              </w:rPr>
              <w:t xml:space="preserve">, </w:t>
            </w:r>
            <w:r>
              <w:rPr>
                <w:rFonts w:ascii="Verdana" w:hAnsi="Verdana" w:cs="Arial"/>
                <w:sz w:val="20"/>
                <w:szCs w:val="20"/>
              </w:rPr>
              <w:t>potentially undeliverable and could result in housing delivery being stalled.</w:t>
            </w:r>
          </w:p>
          <w:p w14:paraId="690ADA17" w14:textId="26516DC0" w:rsidR="00AE2F13" w:rsidRDefault="00AE2F13" w:rsidP="00644675">
            <w:pPr>
              <w:rPr>
                <w:rFonts w:ascii="Verdana" w:hAnsi="Verdana" w:cs="Arial"/>
                <w:sz w:val="20"/>
                <w:szCs w:val="20"/>
              </w:rPr>
            </w:pPr>
          </w:p>
          <w:p w14:paraId="1CEC2FAD" w14:textId="77777777" w:rsidR="004C3C96" w:rsidRPr="00785957" w:rsidRDefault="004C3C96" w:rsidP="00644675">
            <w:pPr>
              <w:rPr>
                <w:rFonts w:ascii="Verdana" w:hAnsi="Verdana" w:cs="Arial"/>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34FE08F2" w:rsidR="00AE2F13" w:rsidRDefault="004C3C96" w:rsidP="00785957">
            <w:pPr>
              <w:jc w:val="center"/>
              <w:rPr>
                <w:rFonts w:ascii="Verdana" w:hAnsi="Verdana" w:cs="Arial"/>
                <w:sz w:val="20"/>
              </w:rPr>
            </w:pPr>
            <w:r>
              <w:rPr>
                <w:rFonts w:ascii="Verdana" w:hAnsi="Verdana" w:cs="Arial"/>
                <w:sz w:val="32"/>
                <w:szCs w:val="40"/>
              </w:rPr>
              <w:sym w:font="Wingdings" w:char="F0FC"/>
            </w: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7777777" w:rsidR="00AE2F13" w:rsidRDefault="00AE2F13" w:rsidP="00785957">
            <w:pPr>
              <w:jc w:val="center"/>
              <w:rPr>
                <w:rFonts w:ascii="Verdana" w:hAnsi="Verdana" w:cs="Arial"/>
                <w:sz w:val="20"/>
              </w:rPr>
            </w:pP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9A80DA2" w14:textId="77777777" w:rsidR="00AE2F13" w:rsidRDefault="00AE2F13" w:rsidP="00644675">
            <w:pPr>
              <w:rPr>
                <w:rFonts w:ascii="Verdana" w:hAnsi="Verdana" w:cs="Arial"/>
                <w:sz w:val="20"/>
              </w:rPr>
            </w:pPr>
          </w:p>
          <w:p w14:paraId="7C581AE6" w14:textId="77777777" w:rsidR="00AE2F13" w:rsidRDefault="00AE2F13" w:rsidP="00644675">
            <w:pPr>
              <w:rPr>
                <w:rFonts w:ascii="Verdana" w:hAnsi="Verdana" w:cs="Arial"/>
                <w:sz w:val="20"/>
              </w:rPr>
            </w:pPr>
          </w:p>
          <w:p w14:paraId="5F1FCC5B" w14:textId="1BED5EBC" w:rsidR="00785957" w:rsidRDefault="00785957"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lastRenderedPageBreak/>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7" w:history="1">
        <w:r w:rsidRPr="008C307D">
          <w:rPr>
            <w:rStyle w:val="Hyperlink"/>
            <w:rFonts w:ascii="Verdana" w:hAnsi="Verdana"/>
            <w:sz w:val="20"/>
            <w:szCs w:val="20"/>
          </w:rPr>
          <w:t>https://www.sstaffs.gov.uk/planning/strategic-planning--data-</w:t>
        </w:r>
        <w:proofErr w:type="spellStart"/>
        <w:r w:rsidRPr="008C307D">
          <w:rPr>
            <w:rStyle w:val="Hyperlink"/>
            <w:rFonts w:ascii="Verdana" w:hAnsi="Verdana"/>
            <w:sz w:val="20"/>
            <w:szCs w:val="20"/>
          </w:rPr>
          <w:t>protection.cfm</w:t>
        </w:r>
        <w:proofErr w:type="spellEnd"/>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8"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w:t>
      </w:r>
      <w:proofErr w:type="spellStart"/>
      <w:r>
        <w:rPr>
          <w:rFonts w:asciiTheme="majorHAnsi" w:hAnsiTheme="majorHAnsi"/>
          <w:b/>
        </w:rPr>
        <w:t>Codsall</w:t>
      </w:r>
      <w:proofErr w:type="spellEnd"/>
      <w:r>
        <w:rPr>
          <w:rFonts w:asciiTheme="majorHAnsi" w:hAnsiTheme="majorHAnsi"/>
          <w:b/>
        </w:rPr>
        <w:t>, South Staffordshire WV8 1PX</w:t>
      </w:r>
    </w:p>
    <w:sectPr w:rsidR="008C307D" w:rsidRPr="008C3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158E4"/>
    <w:rsid w:val="0008110A"/>
    <w:rsid w:val="000A27D4"/>
    <w:rsid w:val="00187168"/>
    <w:rsid w:val="001C54C6"/>
    <w:rsid w:val="00254B59"/>
    <w:rsid w:val="00314A82"/>
    <w:rsid w:val="0034447A"/>
    <w:rsid w:val="004C3C96"/>
    <w:rsid w:val="00691BFB"/>
    <w:rsid w:val="006E4EE9"/>
    <w:rsid w:val="00785957"/>
    <w:rsid w:val="008C307D"/>
    <w:rsid w:val="00904AD2"/>
    <w:rsid w:val="009107B9"/>
    <w:rsid w:val="00A951E1"/>
    <w:rsid w:val="00AE2F13"/>
    <w:rsid w:val="00B33001"/>
    <w:rsid w:val="00C96CB2"/>
    <w:rsid w:val="00D43844"/>
    <w:rsid w:val="00DE5B94"/>
    <w:rsid w:val="00E15E93"/>
    <w:rsid w:val="00E30A9E"/>
    <w:rsid w:val="00F3197C"/>
    <w:rsid w:val="00FE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s@sstaffs.gov.uk" TargetMode="External"/><Relationship Id="rId3" Type="http://schemas.openxmlformats.org/officeDocument/2006/relationships/webSettings" Target="webSettings.xml"/><Relationship Id="rId7" Type="http://schemas.openxmlformats.org/officeDocument/2006/relationships/hyperlink" Target="https://www.sstaffs.gov.uk/planning/strategic-planning--data-protection.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Sam Silcocks</cp:lastModifiedBy>
  <cp:revision>3</cp:revision>
  <dcterms:created xsi:type="dcterms:W3CDTF">2022-12-19T14:53:00Z</dcterms:created>
  <dcterms:modified xsi:type="dcterms:W3CDTF">2022-12-19T21:51:00Z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