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C8C6" w14:textId="2731F920" w:rsidR="00AE2F13" w:rsidRPr="006E4EE9" w:rsidRDefault="00AE2F13" w:rsidP="00187168">
      <w:pPr>
        <w:spacing w:after="120" w:line="260" w:lineRule="atLeast"/>
        <w:rPr>
          <w:rFonts w:ascii="Verdana" w:hAnsi="Verdana"/>
          <w:b/>
          <w:sz w:val="28"/>
          <w:szCs w:val="28"/>
          <w:lang w:eastAsia="en-US"/>
        </w:rPr>
      </w:pPr>
    </w:p>
    <w:tbl>
      <w:tblPr>
        <w:tblW w:w="8777" w:type="dxa"/>
        <w:tblInd w:w="-209" w:type="dxa"/>
        <w:tblCellMar>
          <w:left w:w="10" w:type="dxa"/>
          <w:right w:w="10" w:type="dxa"/>
        </w:tblCellMar>
        <w:tblLook w:val="0000" w:firstRow="0" w:lastRow="0" w:firstColumn="0" w:lastColumn="0" w:noHBand="0" w:noVBand="0"/>
      </w:tblPr>
      <w:tblGrid>
        <w:gridCol w:w="204"/>
        <w:gridCol w:w="236"/>
        <w:gridCol w:w="1024"/>
        <w:gridCol w:w="433"/>
        <w:gridCol w:w="189"/>
        <w:gridCol w:w="638"/>
        <w:gridCol w:w="993"/>
        <w:gridCol w:w="79"/>
        <w:gridCol w:w="8"/>
        <w:gridCol w:w="665"/>
        <w:gridCol w:w="523"/>
        <w:gridCol w:w="72"/>
        <w:gridCol w:w="118"/>
        <w:gridCol w:w="62"/>
        <w:gridCol w:w="63"/>
        <w:gridCol w:w="158"/>
        <w:gridCol w:w="284"/>
        <w:gridCol w:w="346"/>
        <w:gridCol w:w="229"/>
        <w:gridCol w:w="437"/>
        <w:gridCol w:w="235"/>
        <w:gridCol w:w="520"/>
        <w:gridCol w:w="311"/>
        <w:gridCol w:w="1160"/>
      </w:tblGrid>
      <w:tr w:rsidR="00AE2F13" w14:paraId="3B322576" w14:textId="77777777" w:rsidTr="009107B9">
        <w:trPr>
          <w:cantSplit/>
          <w:trHeight w:val="972"/>
        </w:trPr>
        <w:tc>
          <w:tcPr>
            <w:tcW w:w="189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B1E4081" w14:textId="2789F345" w:rsidR="00AE2F13" w:rsidRDefault="00187168" w:rsidP="00644675">
            <w:pPr>
              <w:spacing w:line="960" w:lineRule="auto"/>
              <w:rPr>
                <w:rFonts w:ascii="Verdana" w:hAnsi="Verdana" w:cs="Arial"/>
                <w:b/>
                <w:bCs/>
                <w:sz w:val="20"/>
              </w:rPr>
            </w:pPr>
            <w:r>
              <w:rPr>
                <w:rFonts w:ascii="Verdana" w:hAnsi="Verdana" w:cs="Arial"/>
                <w:b/>
                <w:bCs/>
                <w:noProof/>
                <w:sz w:val="20"/>
              </w:rPr>
              <w:drawing>
                <wp:anchor distT="0" distB="0" distL="114300" distR="114300" simplePos="0" relativeHeight="251661312" behindDoc="1" locked="0" layoutInCell="1" allowOverlap="1" wp14:anchorId="299EF87B" wp14:editId="696A5C6A">
                  <wp:simplePos x="0" y="0"/>
                  <wp:positionH relativeFrom="column">
                    <wp:posOffset>151130</wp:posOffset>
                  </wp:positionH>
                  <wp:positionV relativeFrom="paragraph">
                    <wp:posOffset>-228600</wp:posOffset>
                  </wp:positionV>
                  <wp:extent cx="809625" cy="815340"/>
                  <wp:effectExtent l="0" t="0" r="9525" b="3810"/>
                  <wp:wrapNone/>
                  <wp:docPr id="3" name="Picture 3"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0800000" flipV="1">
                            <a:off x="0" y="0"/>
                            <a:ext cx="809625" cy="815340"/>
                          </a:xfrm>
                          <a:prstGeom prst="rect">
                            <a:avLst/>
                          </a:prstGeom>
                        </pic:spPr>
                      </pic:pic>
                    </a:graphicData>
                  </a:graphic>
                  <wp14:sizeRelH relativeFrom="margin">
                    <wp14:pctWidth>0</wp14:pctWidth>
                  </wp14:sizeRelH>
                  <wp14:sizeRelV relativeFrom="margin">
                    <wp14:pctHeight>0</wp14:pctHeight>
                  </wp14:sizeRelV>
                </wp:anchor>
              </w:drawing>
            </w:r>
            <w:r w:rsidR="006E4EE9">
              <w:rPr>
                <w:noProof/>
              </w:rPr>
              <mc:AlternateContent>
                <mc:Choice Requires="wps">
                  <w:drawing>
                    <wp:inline distT="0" distB="0" distL="0" distR="0" wp14:anchorId="35FDE7E7" wp14:editId="45E646B1">
                      <wp:extent cx="304800" cy="304800"/>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4B1B3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5504" w:type="dxa"/>
            <w:gridSpan w:val="18"/>
            <w:vMerge w:val="restart"/>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729D4FFB" w14:textId="570359C1" w:rsidR="00AE2F13" w:rsidRDefault="00AE2F13" w:rsidP="00187168">
            <w:pPr>
              <w:jc w:val="center"/>
            </w:pPr>
            <w:r>
              <w:rPr>
                <w:rFonts w:ascii="Verdana" w:hAnsi="Verdana" w:cs="Arial"/>
                <w:b/>
                <w:bCs/>
                <w:sz w:val="28"/>
                <w:szCs w:val="28"/>
              </w:rPr>
              <w:t>Local Plan</w:t>
            </w:r>
          </w:p>
          <w:p w14:paraId="625E615B" w14:textId="77777777" w:rsidR="00187168" w:rsidRDefault="00AE2F13" w:rsidP="00187168">
            <w:pPr>
              <w:ind w:left="-3" w:firstLine="3"/>
              <w:jc w:val="center"/>
              <w:rPr>
                <w:rFonts w:ascii="Verdana" w:hAnsi="Verdana" w:cs="Arial"/>
                <w:sz w:val="28"/>
                <w:szCs w:val="28"/>
              </w:rPr>
            </w:pPr>
            <w:r>
              <w:rPr>
                <w:rFonts w:ascii="Verdana" w:hAnsi="Verdana" w:cs="Arial"/>
                <w:sz w:val="28"/>
                <w:szCs w:val="28"/>
              </w:rPr>
              <w:t xml:space="preserve">Publication Stage </w:t>
            </w:r>
          </w:p>
          <w:p w14:paraId="18123617" w14:textId="3697387A" w:rsidR="00AE2F13" w:rsidRDefault="00AE2F13" w:rsidP="00187168">
            <w:pPr>
              <w:ind w:left="-3" w:firstLine="3"/>
              <w:jc w:val="center"/>
              <w:rPr>
                <w:rFonts w:ascii="Verdana" w:hAnsi="Verdana" w:cs="Arial"/>
                <w:sz w:val="28"/>
                <w:szCs w:val="28"/>
              </w:rPr>
            </w:pPr>
            <w:r>
              <w:rPr>
                <w:rFonts w:ascii="Verdana" w:hAnsi="Verdana" w:cs="Arial"/>
                <w:sz w:val="28"/>
                <w:szCs w:val="28"/>
              </w:rPr>
              <w:t>Representation Form</w:t>
            </w:r>
          </w:p>
          <w:p w14:paraId="0DB1C509" w14:textId="77777777" w:rsidR="00AE2F13" w:rsidRDefault="00AE2F13" w:rsidP="00644675">
            <w:pPr>
              <w:rPr>
                <w:rFonts w:ascii="Verdana" w:hAnsi="Verdana" w:cs="Arial"/>
                <w:sz w:val="20"/>
              </w:rPr>
            </w:pPr>
          </w:p>
        </w:tc>
        <w:tc>
          <w:tcPr>
            <w:tcW w:w="1376" w:type="dxa"/>
            <w:gridSpan w:val="2"/>
            <w:vMerge w:val="restart"/>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AE2F13" w14:paraId="22503659" w14:textId="77777777" w:rsidTr="009107B9">
        <w:trPr>
          <w:cantSplit/>
          <w:trHeight w:val="432"/>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DD3F49D"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175BEF39"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3CF51C6C" w14:textId="77777777" w:rsidR="00AE2F13" w:rsidRDefault="00AE2F13" w:rsidP="00644675">
            <w:pPr>
              <w:rPr>
                <w:rFonts w:ascii="Verdana" w:hAnsi="Verdana" w:cs="Arial"/>
                <w:b/>
                <w:bCs/>
                <w:sz w:val="20"/>
              </w:rPr>
            </w:pPr>
          </w:p>
        </w:tc>
      </w:tr>
      <w:tr w:rsidR="00AE2F13" w14:paraId="4DBE5539" w14:textId="77777777" w:rsidTr="009107B9">
        <w:trPr>
          <w:cantSplit/>
          <w:trHeight w:val="524"/>
        </w:trPr>
        <w:tc>
          <w:tcPr>
            <w:tcW w:w="1897" w:type="dxa"/>
            <w:gridSpan w:val="4"/>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7A41C95F" w14:textId="77777777" w:rsidR="00AE2F13" w:rsidRDefault="00AE2F13" w:rsidP="00644675">
            <w:pPr>
              <w:ind w:left="-3" w:firstLine="3"/>
              <w:rPr>
                <w:rFonts w:ascii="Verdana" w:hAnsi="Verdana" w:cs="Arial"/>
                <w:sz w:val="20"/>
              </w:rPr>
            </w:pPr>
          </w:p>
        </w:tc>
        <w:tc>
          <w:tcPr>
            <w:tcW w:w="5504" w:type="dxa"/>
            <w:gridSpan w:val="18"/>
            <w:vMerge/>
            <w:tcBorders>
              <w:left w:val="single" w:sz="4" w:space="0" w:color="000000"/>
              <w:bottom w:val="single" w:sz="4" w:space="0" w:color="000000"/>
            </w:tcBorders>
            <w:shd w:val="clear" w:color="auto" w:fill="auto"/>
            <w:noWrap/>
            <w:tcMar>
              <w:top w:w="0" w:type="dxa"/>
              <w:left w:w="108" w:type="dxa"/>
              <w:bottom w:w="0" w:type="dxa"/>
              <w:right w:w="108" w:type="dxa"/>
            </w:tcMar>
            <w:vAlign w:val="bottom"/>
          </w:tcPr>
          <w:p w14:paraId="48D747EF" w14:textId="77777777" w:rsidR="00AE2F13" w:rsidRDefault="00AE2F13" w:rsidP="00644675">
            <w:pPr>
              <w:ind w:left="-3" w:firstLine="3"/>
              <w:jc w:val="center"/>
              <w:rPr>
                <w:rFonts w:ascii="Verdana" w:hAnsi="Verdana" w:cs="Arial"/>
                <w:sz w:val="20"/>
              </w:rPr>
            </w:pPr>
          </w:p>
        </w:tc>
        <w:tc>
          <w:tcPr>
            <w:tcW w:w="1376" w:type="dxa"/>
            <w:gridSpan w:val="2"/>
            <w:vMerge/>
            <w:tcBorders>
              <w:top w:val="single" w:sz="8" w:space="0" w:color="000000"/>
              <w:left w:val="single" w:sz="8" w:space="0" w:color="000000"/>
              <w:bottom w:val="single" w:sz="4" w:space="0" w:color="000000"/>
              <w:right w:val="single" w:sz="8" w:space="0" w:color="000000"/>
            </w:tcBorders>
            <w:shd w:val="clear" w:color="auto" w:fill="auto"/>
            <w:noWrap/>
            <w:tcMar>
              <w:top w:w="0" w:type="dxa"/>
              <w:left w:w="108" w:type="dxa"/>
              <w:bottom w:w="0" w:type="dxa"/>
              <w:right w:w="108" w:type="dxa"/>
            </w:tcMar>
            <w:vAlign w:val="center"/>
          </w:tcPr>
          <w:p w14:paraId="05EF7092" w14:textId="77777777" w:rsidR="00AE2F13" w:rsidRDefault="00AE2F13" w:rsidP="00644675">
            <w:pPr>
              <w:rPr>
                <w:rFonts w:ascii="Verdana" w:hAnsi="Verdana" w:cs="Arial"/>
                <w:b/>
                <w:bCs/>
                <w:sz w:val="20"/>
              </w:rPr>
            </w:pPr>
          </w:p>
        </w:tc>
      </w:tr>
      <w:tr w:rsidR="00AE2F13" w14:paraId="1AA00A23" w14:textId="77777777" w:rsidTr="009107B9">
        <w:trPr>
          <w:cantSplit/>
          <w:trHeight w:val="157"/>
        </w:trPr>
        <w:tc>
          <w:tcPr>
            <w:tcW w:w="8777" w:type="dxa"/>
            <w:gridSpan w:val="24"/>
            <w:tcBorders>
              <w:top w:val="double" w:sz="4" w:space="0" w:color="000000"/>
            </w:tcBorders>
            <w:shd w:val="clear" w:color="auto" w:fill="auto"/>
            <w:noWrap/>
            <w:tcMar>
              <w:top w:w="0" w:type="dxa"/>
              <w:left w:w="108" w:type="dxa"/>
              <w:bottom w:w="0" w:type="dxa"/>
              <w:right w:w="108" w:type="dxa"/>
            </w:tcMar>
            <w:vAlign w:val="bottom"/>
          </w:tcPr>
          <w:p w14:paraId="19D850CA" w14:textId="77777777" w:rsidR="00AE2F13" w:rsidRDefault="00AE2F13" w:rsidP="00644675">
            <w:pPr>
              <w:ind w:left="-3" w:firstLine="3"/>
              <w:rPr>
                <w:rFonts w:ascii="Verdana" w:hAnsi="Verdana" w:cs="Arial"/>
                <w:sz w:val="20"/>
              </w:rPr>
            </w:pPr>
          </w:p>
        </w:tc>
      </w:tr>
      <w:tr w:rsidR="00AE2F13" w14:paraId="5ABA5B94" w14:textId="77777777" w:rsidTr="009107B9">
        <w:trPr>
          <w:cantSplit/>
          <w:trHeight w:val="450"/>
        </w:trPr>
        <w:tc>
          <w:tcPr>
            <w:tcW w:w="5307" w:type="dxa"/>
            <w:gridSpan w:val="15"/>
            <w:shd w:val="clear" w:color="auto" w:fill="auto"/>
            <w:noWrap/>
            <w:tcMar>
              <w:top w:w="0" w:type="dxa"/>
              <w:left w:w="108" w:type="dxa"/>
              <w:bottom w:w="0" w:type="dxa"/>
              <w:right w:w="108" w:type="dxa"/>
            </w:tcMar>
            <w:vAlign w:val="center"/>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3470" w:type="dxa"/>
            <w:gridSpan w:val="9"/>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79E9B58" w14:textId="382EA160" w:rsidR="00AE2F13" w:rsidRPr="006E4EE9" w:rsidRDefault="006E4EE9" w:rsidP="006E4EE9">
            <w:pPr>
              <w:ind w:left="-3" w:firstLine="3"/>
              <w:rPr>
                <w:rFonts w:ascii="Verdana" w:hAnsi="Verdana" w:cs="Arial"/>
                <w:b/>
                <w:bCs/>
                <w:sz w:val="20"/>
              </w:rPr>
            </w:pPr>
            <w:r w:rsidRPr="006E4EE9">
              <w:rPr>
                <w:rFonts w:ascii="Verdana" w:hAnsi="Verdana" w:cs="Arial"/>
                <w:b/>
                <w:bCs/>
                <w:sz w:val="20"/>
              </w:rPr>
              <w:t>South Staffordshire Council Local Plan 2018 - 2039</w:t>
            </w:r>
          </w:p>
        </w:tc>
      </w:tr>
      <w:tr w:rsidR="00AE2F13" w14:paraId="0AD1395A" w14:textId="77777777" w:rsidTr="009107B9">
        <w:trPr>
          <w:cantSplit/>
          <w:trHeight w:val="157"/>
        </w:trPr>
        <w:tc>
          <w:tcPr>
            <w:tcW w:w="8777" w:type="dxa"/>
            <w:gridSpan w:val="24"/>
            <w:tcBorders>
              <w:bottom w:val="double" w:sz="4" w:space="0" w:color="000000"/>
            </w:tcBorders>
            <w:shd w:val="clear" w:color="auto" w:fill="auto"/>
            <w:noWrap/>
            <w:tcMar>
              <w:top w:w="0" w:type="dxa"/>
              <w:left w:w="108" w:type="dxa"/>
              <w:bottom w:w="0" w:type="dxa"/>
              <w:right w:w="108" w:type="dxa"/>
            </w:tcMar>
            <w:vAlign w:val="bottom"/>
          </w:tcPr>
          <w:p w14:paraId="3A582A16" w14:textId="77777777" w:rsidR="00AE2F13" w:rsidRDefault="00AE2F13" w:rsidP="00644675">
            <w:pPr>
              <w:ind w:left="-3" w:firstLine="3"/>
              <w:rPr>
                <w:rFonts w:ascii="Verdana" w:hAnsi="Verdana" w:cs="Arial"/>
                <w:b/>
                <w:bCs/>
                <w:sz w:val="12"/>
              </w:rPr>
            </w:pPr>
          </w:p>
          <w:p w14:paraId="11D74726" w14:textId="4840B18B" w:rsidR="00AE2F13" w:rsidRPr="006E4EE9" w:rsidRDefault="00AE2F13" w:rsidP="006E4EE9">
            <w:pPr>
              <w:ind w:left="-3" w:firstLine="3"/>
              <w:rPr>
                <w:rFonts w:ascii="Verdana" w:hAnsi="Verdana" w:cs="Arial"/>
                <w:b/>
                <w:bCs/>
                <w:sz w:val="18"/>
                <w:szCs w:val="18"/>
              </w:rPr>
            </w:pPr>
            <w:r w:rsidRPr="006E4EE9">
              <w:rPr>
                <w:rFonts w:ascii="Verdana" w:hAnsi="Verdana" w:cs="Arial"/>
                <w:b/>
                <w:bCs/>
                <w:sz w:val="18"/>
                <w:szCs w:val="18"/>
              </w:rPr>
              <w:t>Please return to</w:t>
            </w:r>
            <w:r w:rsidR="006E4EE9" w:rsidRPr="006E4EE9">
              <w:rPr>
                <w:rFonts w:ascii="Verdana" w:hAnsi="Verdana" w:cs="Arial"/>
                <w:b/>
                <w:bCs/>
                <w:sz w:val="18"/>
                <w:szCs w:val="18"/>
              </w:rPr>
              <w:t xml:space="preserve"> South Staffordshire Council </w:t>
            </w:r>
            <w:r w:rsidRPr="006E4EE9">
              <w:rPr>
                <w:rFonts w:ascii="Verdana" w:hAnsi="Verdana" w:cs="Arial"/>
                <w:b/>
                <w:bCs/>
                <w:sz w:val="18"/>
                <w:szCs w:val="18"/>
              </w:rPr>
              <w:t xml:space="preserve">BY </w:t>
            </w:r>
            <w:r w:rsidR="00F3197C">
              <w:rPr>
                <w:rFonts w:ascii="Verdana" w:hAnsi="Verdana" w:cs="Arial"/>
                <w:b/>
                <w:bCs/>
                <w:sz w:val="18"/>
                <w:szCs w:val="18"/>
              </w:rPr>
              <w:t>12 noon</w:t>
            </w:r>
            <w:r w:rsidR="006E4EE9" w:rsidRPr="006E4EE9">
              <w:rPr>
                <w:rFonts w:ascii="Verdana" w:hAnsi="Verdana" w:cs="Arial"/>
                <w:b/>
                <w:bCs/>
                <w:sz w:val="18"/>
                <w:szCs w:val="18"/>
              </w:rPr>
              <w:t xml:space="preserve"> Friday 23 December 2022</w:t>
            </w:r>
          </w:p>
        </w:tc>
      </w:tr>
      <w:tr w:rsidR="00AE2F13" w14:paraId="53B211F7"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r w:rsidR="00AE2F13" w14:paraId="6EE94D5B" w14:textId="77777777" w:rsidTr="009107B9">
        <w:trPr>
          <w:cantSplit/>
          <w:trHeight w:val="157"/>
        </w:trPr>
        <w:tc>
          <w:tcPr>
            <w:tcW w:w="8777" w:type="dxa"/>
            <w:gridSpan w:val="24"/>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1DAE6583" w:rsidR="00AE2F13" w:rsidRDefault="00AE2F13" w:rsidP="00644675">
            <w:pPr>
              <w:pStyle w:val="BodyText"/>
              <w:rPr>
                <w:b/>
                <w:kern w:val="3"/>
                <w:sz w:val="32"/>
                <w:szCs w:val="32"/>
              </w:rPr>
            </w:pPr>
            <w:bookmarkStart w:id="0" w:name="_Toc364432883"/>
            <w:r>
              <w:rPr>
                <w:b/>
                <w:kern w:val="3"/>
                <w:sz w:val="32"/>
                <w:szCs w:val="32"/>
              </w:rPr>
              <w:t>Part A</w:t>
            </w:r>
            <w:bookmarkEnd w:id="0"/>
          </w:p>
          <w:p w14:paraId="41477F3E" w14:textId="77777777" w:rsidR="00AE2F13" w:rsidRDefault="00AE2F13" w:rsidP="00644675">
            <w:pPr>
              <w:ind w:left="-3" w:firstLine="3"/>
              <w:rPr>
                <w:rFonts w:ascii="Verdana" w:hAnsi="Verdana" w:cs="Arial"/>
                <w:sz w:val="20"/>
              </w:rPr>
            </w:pPr>
          </w:p>
        </w:tc>
      </w:tr>
      <w:tr w:rsidR="00AE2F13" w14:paraId="2BC9BE41" w14:textId="77777777" w:rsidTr="009107B9">
        <w:trPr>
          <w:cantSplit/>
          <w:trHeight w:val="222"/>
        </w:trPr>
        <w:tc>
          <w:tcPr>
            <w:tcW w:w="2086" w:type="dxa"/>
            <w:gridSpan w:val="5"/>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gridSpan w:val="3"/>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gridSpan w:val="2"/>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gridSpan w:val="3"/>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gridSpan w:val="3"/>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gridSpan w:val="7"/>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9107B9">
        <w:trPr>
          <w:cantSplit/>
          <w:trHeight w:val="105"/>
        </w:trPr>
        <w:tc>
          <w:tcPr>
            <w:tcW w:w="8777" w:type="dxa"/>
            <w:gridSpan w:val="24"/>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AE2F13" w14:paraId="2531138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42FBFA99"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Mr</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78DE4D76"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Mr</w:t>
            </w:r>
          </w:p>
        </w:tc>
      </w:tr>
      <w:tr w:rsidR="00AE2F13" w14:paraId="1FFC9DD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AE2F13" w14:paraId="0CDA49D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6DBF9D4A" w:rsidR="00AE2F13" w:rsidRDefault="00AE2F13" w:rsidP="00644675">
            <w:pPr>
              <w:ind w:left="-3" w:firstLine="3"/>
              <w:rPr>
                <w:rFonts w:ascii="Verdana" w:hAnsi="Verdana" w:cs="Arial"/>
                <w:sz w:val="20"/>
              </w:rPr>
            </w:pPr>
            <w:r>
              <w:rPr>
                <w:rFonts w:ascii="Verdana" w:hAnsi="Verdana" w:cs="Arial"/>
                <w:sz w:val="20"/>
              </w:rPr>
              <w:t> </w:t>
            </w:r>
            <w:r w:rsidR="00127BAE">
              <w:rPr>
                <w:rFonts w:ascii="Verdana" w:hAnsi="Verdana" w:cs="Arial"/>
                <w:sz w:val="20"/>
              </w:rPr>
              <w:t>Jonathan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33D43515" w:rsidR="00AE2F13" w:rsidRDefault="00127BAE" w:rsidP="00644675">
            <w:pPr>
              <w:rPr>
                <w:rFonts w:ascii="Verdana" w:hAnsi="Verdana" w:cs="Arial"/>
                <w:sz w:val="20"/>
              </w:rPr>
            </w:pPr>
            <w:r>
              <w:rPr>
                <w:rFonts w:ascii="Verdana" w:hAnsi="Verdana" w:cs="Arial"/>
                <w:sz w:val="20"/>
              </w:rPr>
              <w:t>Sam</w:t>
            </w:r>
          </w:p>
        </w:tc>
      </w:tr>
      <w:tr w:rsidR="00AE2F13" w14:paraId="11FFFA7C"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AE2F13" w14:paraId="27DC321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2BBE6956" w:rsidR="00AE2F13" w:rsidRDefault="00127BAE" w:rsidP="00644675">
            <w:pPr>
              <w:ind w:left="-3" w:firstLine="3"/>
              <w:rPr>
                <w:rFonts w:ascii="Verdana" w:hAnsi="Verdana" w:cs="Arial"/>
                <w:sz w:val="20"/>
              </w:rPr>
            </w:pPr>
            <w:r>
              <w:rPr>
                <w:rFonts w:ascii="Verdana" w:hAnsi="Verdana" w:cs="Arial"/>
                <w:sz w:val="20"/>
              </w:rPr>
              <w:t>Tomlinson</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3FA550A8" w:rsidR="00AE2F13" w:rsidRDefault="00127BAE" w:rsidP="00644675">
            <w:pPr>
              <w:rPr>
                <w:rFonts w:ascii="Verdana" w:hAnsi="Verdana" w:cs="Arial"/>
                <w:sz w:val="20"/>
              </w:rPr>
            </w:pPr>
            <w:r>
              <w:rPr>
                <w:rFonts w:ascii="Verdana" w:hAnsi="Verdana" w:cs="Arial"/>
                <w:sz w:val="20"/>
              </w:rPr>
              <w:t>Silcocks</w:t>
            </w:r>
          </w:p>
        </w:tc>
      </w:tr>
      <w:tr w:rsidR="00AE2F13" w14:paraId="7F42050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AE2F13" w14:paraId="20008554"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44141F7D" w:rsidR="00AE2F13" w:rsidRDefault="00AE2F13" w:rsidP="00644675">
            <w:pPr>
              <w:ind w:left="-3" w:firstLine="3"/>
              <w:rPr>
                <w:rFonts w:ascii="Verdana" w:hAnsi="Verdana" w:cs="Arial"/>
                <w:sz w:val="20"/>
              </w:rPr>
            </w:pP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305D1B2A"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Director</w:t>
            </w:r>
          </w:p>
        </w:tc>
      </w:tr>
      <w:tr w:rsidR="00AE2F13" w14:paraId="67C23891"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AE2F13" w14:paraId="2A834ED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20BB8FB3" w:rsidR="00AE2F13" w:rsidRDefault="00127BAE" w:rsidP="00644675">
            <w:pPr>
              <w:ind w:left="-3" w:firstLine="3"/>
              <w:rPr>
                <w:rFonts w:ascii="Verdana" w:hAnsi="Verdana" w:cs="Arial"/>
                <w:sz w:val="20"/>
              </w:rPr>
            </w:pPr>
            <w:r>
              <w:rPr>
                <w:rFonts w:ascii="Verdana" w:hAnsi="Verdana" w:cs="Arial"/>
                <w:sz w:val="20"/>
              </w:rPr>
              <w:t>Heyford Developments</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35C2185C"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Harris Lamb</w:t>
            </w:r>
          </w:p>
        </w:tc>
      </w:tr>
      <w:tr w:rsidR="00AE2F13" w14:paraId="616CB2D4"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AE2F13" w14:paraId="79A3E73A"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76C62F34" w:rsidR="00AE2F13" w:rsidRDefault="00AE2F13" w:rsidP="00644675">
            <w:pPr>
              <w:ind w:left="-3" w:firstLine="3"/>
              <w:rPr>
                <w:rFonts w:ascii="Verdana" w:hAnsi="Verdana" w:cs="Arial"/>
                <w:sz w:val="20"/>
              </w:rPr>
            </w:pPr>
            <w:r>
              <w:rPr>
                <w:rFonts w:ascii="Verdana" w:hAnsi="Verdana" w:cs="Arial"/>
                <w:sz w:val="20"/>
              </w:rPr>
              <w:t> </w:t>
            </w:r>
            <w:r w:rsidR="00FE0126">
              <w:rPr>
                <w:rFonts w:ascii="Verdana" w:hAnsi="Verdana" w:cs="Arial"/>
                <w:sz w:val="20"/>
              </w:rPr>
              <w:t>c/o Agent</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5D4BA3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Grosvenor House</w:t>
            </w:r>
          </w:p>
        </w:tc>
      </w:tr>
      <w:tr w:rsidR="00AE2F13" w14:paraId="224046B6"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AE2F13" w14:paraId="766B744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3D6F6487"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75-76 Francis Road</w:t>
            </w:r>
          </w:p>
        </w:tc>
      </w:tr>
      <w:tr w:rsidR="00AE2F13" w14:paraId="4DA66D7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AE2F13" w14:paraId="32EB0E9C"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780AB272"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Edgbaston</w:t>
            </w:r>
          </w:p>
        </w:tc>
      </w:tr>
      <w:tr w:rsidR="00AE2F13" w14:paraId="03A4EA93"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AE2F13" w14:paraId="0F8F1120"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1DAC2769"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Birmingham</w:t>
            </w:r>
          </w:p>
        </w:tc>
      </w:tr>
      <w:tr w:rsidR="00AE2F13" w14:paraId="71ECE1A0"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AE2F13" w14:paraId="1CF5C47B"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57839C44"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B16 8SP</w:t>
            </w:r>
          </w:p>
        </w:tc>
      </w:tr>
      <w:tr w:rsidR="00AE2F13" w14:paraId="769A35A7"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AE2F13" w14:paraId="2461037D"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4BEB7DAF" w:rsidR="00AE2F13" w:rsidRDefault="00AE2F13" w:rsidP="00644675">
            <w:pPr>
              <w:rPr>
                <w:rFonts w:ascii="Verdana" w:hAnsi="Verdana" w:cs="Arial"/>
                <w:sz w:val="20"/>
              </w:rPr>
            </w:pPr>
            <w:r>
              <w:rPr>
                <w:rFonts w:ascii="Verdana" w:hAnsi="Verdana" w:cs="Arial"/>
                <w:sz w:val="20"/>
              </w:rPr>
              <w:t> </w:t>
            </w:r>
            <w:r w:rsidR="00FE0126">
              <w:rPr>
                <w:rFonts w:ascii="Verdana" w:hAnsi="Verdana" w:cs="Arial"/>
                <w:sz w:val="20"/>
              </w:rPr>
              <w:t>0121 455 9455</w:t>
            </w:r>
          </w:p>
        </w:tc>
      </w:tr>
      <w:tr w:rsidR="00AE2F13" w14:paraId="14F81352" w14:textId="77777777" w:rsidTr="009107B9">
        <w:trPr>
          <w:cantSplit/>
          <w:trHeight w:val="52"/>
        </w:trPr>
        <w:tc>
          <w:tcPr>
            <w:tcW w:w="5749" w:type="dxa"/>
            <w:gridSpan w:val="17"/>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AE2F13" w14:paraId="73B5CF22" w14:textId="77777777" w:rsidTr="009107B9">
        <w:trPr>
          <w:cantSplit/>
          <w:trHeight w:val="262"/>
        </w:trPr>
        <w:tc>
          <w:tcPr>
            <w:tcW w:w="2086" w:type="dxa"/>
            <w:gridSpan w:val="5"/>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4"/>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gridSpan w:val="7"/>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31C823A0" w:rsidR="00AE2F13" w:rsidRDefault="00127BAE" w:rsidP="00644675">
            <w:pPr>
              <w:rPr>
                <w:rFonts w:ascii="Verdana" w:hAnsi="Verdana" w:cs="Arial"/>
                <w:sz w:val="20"/>
              </w:rPr>
            </w:pPr>
            <w:r>
              <w:rPr>
                <w:rFonts w:ascii="Verdana" w:hAnsi="Verdana" w:cs="Arial"/>
                <w:sz w:val="20"/>
              </w:rPr>
              <w:t>sam.silcocks@harrislamb.com</w:t>
            </w:r>
          </w:p>
        </w:tc>
      </w:tr>
      <w:tr w:rsidR="00AE2F13" w14:paraId="413DD414" w14:textId="77777777" w:rsidTr="009107B9">
        <w:trPr>
          <w:cantSplit/>
          <w:trHeight w:val="183"/>
        </w:trPr>
        <w:tc>
          <w:tcPr>
            <w:tcW w:w="5749" w:type="dxa"/>
            <w:gridSpan w:val="17"/>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t>
            </w:r>
            <w:proofErr w:type="gramStart"/>
            <w:r>
              <w:rPr>
                <w:rFonts w:ascii="Verdana" w:hAnsi="Verdana" w:cs="Arial"/>
                <w:sz w:val="16"/>
                <w:szCs w:val="16"/>
              </w:rPr>
              <w:t>where</w:t>
            </w:r>
            <w:proofErr w:type="gramEnd"/>
            <w:r>
              <w:rPr>
                <w:rFonts w:ascii="Verdana" w:hAnsi="Verdana" w:cs="Arial"/>
                <w:sz w:val="16"/>
                <w:szCs w:val="16"/>
              </w:rPr>
              <w:t xml:space="preserve"> relevant)</w:t>
            </w:r>
          </w:p>
        </w:tc>
        <w:tc>
          <w:tcPr>
            <w:tcW w:w="3028" w:type="dxa"/>
            <w:gridSpan w:val="7"/>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r w:rsidR="00AE2F13" w14:paraId="4F6C47BE" w14:textId="77777777" w:rsidTr="009107B9">
        <w:trPr>
          <w:gridBefore w:val="1"/>
          <w:wBefore w:w="204" w:type="dxa"/>
          <w:cantSplit/>
          <w:trHeight w:val="180"/>
        </w:trPr>
        <w:tc>
          <w:tcPr>
            <w:tcW w:w="8573" w:type="dxa"/>
            <w:gridSpan w:val="23"/>
            <w:shd w:val="clear" w:color="auto" w:fill="auto"/>
            <w:noWrap/>
            <w:tcMar>
              <w:top w:w="0" w:type="dxa"/>
              <w:left w:w="108" w:type="dxa"/>
              <w:bottom w:w="0" w:type="dxa"/>
              <w:right w:w="108" w:type="dxa"/>
            </w:tcMar>
            <w:vAlign w:val="bottom"/>
          </w:tcPr>
          <w:p w14:paraId="5706903C" w14:textId="51B5E53B" w:rsidR="00AE2F13" w:rsidRDefault="00AE2F13" w:rsidP="00644675">
            <w:pPr>
              <w:pStyle w:val="BodyText"/>
              <w:rPr>
                <w:b/>
                <w:sz w:val="32"/>
                <w:szCs w:val="32"/>
              </w:rPr>
            </w:pPr>
            <w:bookmarkStart w:id="1" w:name="_Toc364432884"/>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9107B9">
        <w:trPr>
          <w:gridBefore w:val="1"/>
          <w:wBefore w:w="204" w:type="dxa"/>
          <w:cantSplit/>
          <w:trHeight w:val="300"/>
        </w:trPr>
        <w:tc>
          <w:tcPr>
            <w:tcW w:w="8573" w:type="dxa"/>
            <w:gridSpan w:val="23"/>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9107B9">
        <w:trPr>
          <w:gridBefore w:val="1"/>
          <w:wBefore w:w="204" w:type="dxa"/>
          <w:cantSplit/>
          <w:trHeight w:val="232"/>
        </w:trPr>
        <w:tc>
          <w:tcPr>
            <w:tcW w:w="8573" w:type="dxa"/>
            <w:gridSpan w:val="23"/>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9107B9">
        <w:trPr>
          <w:gridBefore w:val="1"/>
          <w:wBefore w:w="204" w:type="dxa"/>
          <w:cantSplit/>
          <w:trHeight w:val="567"/>
        </w:trPr>
        <w:tc>
          <w:tcPr>
            <w:tcW w:w="1260" w:type="dxa"/>
            <w:gridSpan w:val="2"/>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C8C5CA3" w:rsidR="00AE2F13" w:rsidRDefault="002C1859" w:rsidP="00785957">
            <w:pPr>
              <w:jc w:val="center"/>
              <w:rPr>
                <w:rFonts w:ascii="Verdana" w:hAnsi="Verdana" w:cs="Arial"/>
                <w:sz w:val="20"/>
              </w:rPr>
            </w:pPr>
            <w:r>
              <w:rPr>
                <w:rFonts w:ascii="Verdana" w:hAnsi="Verdana" w:cs="Arial"/>
                <w:sz w:val="20"/>
              </w:rPr>
              <w:t>5.17</w:t>
            </w:r>
          </w:p>
        </w:tc>
        <w:tc>
          <w:tcPr>
            <w:tcW w:w="1080" w:type="dxa"/>
            <w:gridSpan w:val="3"/>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7D395BC" w14:textId="1622E003" w:rsidR="00AE2F13" w:rsidRDefault="00D83210" w:rsidP="00691BFB">
            <w:pPr>
              <w:jc w:val="center"/>
              <w:rPr>
                <w:rFonts w:ascii="Verdana" w:hAnsi="Verdana" w:cs="Arial"/>
                <w:sz w:val="20"/>
              </w:rPr>
            </w:pPr>
            <w:r>
              <w:rPr>
                <w:rFonts w:ascii="Verdana" w:hAnsi="Verdana" w:cs="Arial"/>
                <w:sz w:val="20"/>
              </w:rPr>
              <w:t>DS4</w:t>
            </w:r>
          </w:p>
        </w:tc>
        <w:tc>
          <w:tcPr>
            <w:tcW w:w="1631" w:type="dxa"/>
            <w:gridSpan w:val="8"/>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82"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77777777" w:rsidR="00AE2F13" w:rsidRDefault="00AE2F13" w:rsidP="00691BFB">
            <w:pPr>
              <w:jc w:val="center"/>
              <w:rPr>
                <w:rFonts w:ascii="Verdana" w:hAnsi="Verdana" w:cs="Arial"/>
                <w:sz w:val="20"/>
              </w:rPr>
            </w:pPr>
          </w:p>
        </w:tc>
      </w:tr>
      <w:tr w:rsidR="00AE2F13" w14:paraId="2B13C1F3" w14:textId="77777777" w:rsidTr="009107B9">
        <w:trPr>
          <w:gridBefore w:val="1"/>
          <w:wBefore w:w="204" w:type="dxa"/>
          <w:cantSplit/>
          <w:trHeight w:val="300"/>
        </w:trPr>
        <w:tc>
          <w:tcPr>
            <w:tcW w:w="8573" w:type="dxa"/>
            <w:gridSpan w:val="23"/>
            <w:shd w:val="clear" w:color="auto" w:fill="auto"/>
            <w:noWrap/>
            <w:tcMar>
              <w:top w:w="0" w:type="dxa"/>
              <w:left w:w="108" w:type="dxa"/>
              <w:bottom w:w="0" w:type="dxa"/>
              <w:right w:w="108" w:type="dxa"/>
            </w:tcMar>
            <w:vAlign w:val="center"/>
          </w:tcPr>
          <w:p w14:paraId="444AC4E9" w14:textId="77777777" w:rsidR="009107B9" w:rsidRDefault="009107B9" w:rsidP="00644675">
            <w:pPr>
              <w:rPr>
                <w:rFonts w:ascii="Verdana" w:hAnsi="Verdana" w:cs="Arial"/>
                <w:sz w:val="20"/>
              </w:rPr>
            </w:pPr>
          </w:p>
          <w:p w14:paraId="72686C68" w14:textId="5B902791"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379B48A5" w14:textId="77777777" w:rsidTr="001C54C6">
        <w:trPr>
          <w:gridBefore w:val="1"/>
          <w:wBefore w:w="204" w:type="dxa"/>
          <w:cantSplit/>
          <w:trHeight w:val="150"/>
        </w:trPr>
        <w:tc>
          <w:tcPr>
            <w:tcW w:w="3513" w:type="dxa"/>
            <w:gridSpan w:val="6"/>
            <w:vMerge w:val="restart"/>
            <w:shd w:val="clear" w:color="auto" w:fill="auto"/>
            <w:noWrap/>
            <w:tcMar>
              <w:top w:w="0" w:type="dxa"/>
              <w:left w:w="108" w:type="dxa"/>
              <w:bottom w:w="0" w:type="dxa"/>
              <w:right w:w="108" w:type="dxa"/>
            </w:tcMar>
            <w:vAlign w:val="center"/>
          </w:tcPr>
          <w:p w14:paraId="30045DF8" w14:textId="0C560DDA" w:rsidR="00AE2F13" w:rsidRDefault="00AE2F13" w:rsidP="00644675">
            <w:pPr>
              <w:rPr>
                <w:rFonts w:ascii="Verdana" w:hAnsi="Verdana" w:cs="Arial"/>
                <w:sz w:val="20"/>
              </w:rPr>
            </w:pPr>
            <w:r>
              <w:rPr>
                <w:rFonts w:ascii="Verdana" w:hAnsi="Verdana" w:cs="Arial"/>
                <w:sz w:val="20"/>
              </w:rPr>
              <w:t>(1) Legally compliant</w:t>
            </w:r>
          </w:p>
          <w:p w14:paraId="3295D301" w14:textId="77777777" w:rsidR="00AE2F13" w:rsidRDefault="00AE2F13" w:rsidP="00644675">
            <w:pPr>
              <w:rPr>
                <w:rFonts w:ascii="Verdana" w:hAnsi="Verdana" w:cs="Arial"/>
                <w:sz w:val="20"/>
              </w:rPr>
            </w:pPr>
          </w:p>
          <w:p w14:paraId="38CC9405" w14:textId="228255D9" w:rsidR="00AE2F13" w:rsidRDefault="00AE2F13" w:rsidP="00644675">
            <w:r>
              <w:rPr>
                <w:rFonts w:ascii="Verdana" w:hAnsi="Verdana" w:cs="Arial"/>
                <w:sz w:val="20"/>
              </w:rPr>
              <w:t>(2) Sound</w:t>
            </w:r>
          </w:p>
        </w:tc>
        <w:tc>
          <w:tcPr>
            <w:tcW w:w="1275" w:type="dxa"/>
            <w:gridSpan w:val="4"/>
            <w:vMerge w:val="restart"/>
            <w:tcBorders>
              <w:right w:val="single" w:sz="8" w:space="0" w:color="000000"/>
            </w:tcBorders>
            <w:shd w:val="clear" w:color="auto" w:fill="auto"/>
            <w:noWrap/>
            <w:tcMar>
              <w:top w:w="0" w:type="dxa"/>
              <w:left w:w="108" w:type="dxa"/>
              <w:bottom w:w="0" w:type="dxa"/>
              <w:right w:w="108" w:type="dxa"/>
            </w:tcMar>
            <w:vAlign w:val="center"/>
          </w:tcPr>
          <w:p w14:paraId="1B5768AC" w14:textId="77777777" w:rsidR="00AE2F13" w:rsidRDefault="00AE2F13" w:rsidP="00644675">
            <w:pPr>
              <w:rPr>
                <w:rFonts w:ascii="Verdana" w:hAnsi="Verdana" w:cs="Arial"/>
                <w:sz w:val="20"/>
              </w:rPr>
            </w:pPr>
            <w:r>
              <w:rPr>
                <w:rFonts w:ascii="Verdana" w:hAnsi="Verdana" w:cs="Arial"/>
                <w:sz w:val="20"/>
              </w:rPr>
              <w:t>Yes</w:t>
            </w:r>
          </w:p>
          <w:p w14:paraId="035754B2" w14:textId="77777777" w:rsidR="00AE2F13" w:rsidRDefault="00AE2F13" w:rsidP="00644675">
            <w:pPr>
              <w:rPr>
                <w:rFonts w:ascii="Verdana" w:hAnsi="Verdana" w:cs="Arial"/>
                <w:sz w:val="20"/>
              </w:rPr>
            </w:pPr>
          </w:p>
          <w:p w14:paraId="4858EBB5" w14:textId="77777777" w:rsidR="00AE2F13" w:rsidRDefault="00AE2F13" w:rsidP="00644675">
            <w:pPr>
              <w:rPr>
                <w:rFonts w:ascii="Verdana" w:hAnsi="Verdana" w:cs="Arial"/>
                <w:sz w:val="20"/>
              </w:rPr>
            </w:pPr>
            <w:r>
              <w:rPr>
                <w:rFonts w:ascii="Verdana" w:hAnsi="Verdana" w:cs="Arial"/>
                <w:sz w:val="20"/>
              </w:rPr>
              <w:t xml:space="preserve">Yes </w:t>
            </w:r>
          </w:p>
        </w:tc>
        <w:tc>
          <w:tcPr>
            <w:tcW w:w="1080" w:type="dxa"/>
            <w:gridSpan w:val="7"/>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30B20819" w14:textId="7A5C541F" w:rsidR="00AE2F13" w:rsidRDefault="002C1859" w:rsidP="00785957">
            <w:pPr>
              <w:jc w:val="center"/>
              <w:rPr>
                <w:rFonts w:ascii="Verdana" w:hAnsi="Verdana" w:cs="Arial"/>
                <w:sz w:val="20"/>
              </w:rPr>
            </w:pPr>
            <w:r>
              <w:rPr>
                <w:rFonts w:ascii="Verdana" w:hAnsi="Verdana" w:cs="Arial"/>
                <w:sz w:val="32"/>
                <w:szCs w:val="40"/>
              </w:rPr>
              <w:sym w:font="Wingdings" w:char="F0FC"/>
            </w:r>
          </w:p>
        </w:tc>
        <w:tc>
          <w:tcPr>
            <w:tcW w:w="843" w:type="dxa"/>
            <w:gridSpan w:val="3"/>
            <w:vMerge w:val="restart"/>
            <w:tcBorders>
              <w:left w:val="single" w:sz="8" w:space="0" w:color="000000"/>
            </w:tcBorders>
            <w:shd w:val="clear" w:color="auto" w:fill="auto"/>
            <w:noWrap/>
            <w:tcMar>
              <w:top w:w="0" w:type="dxa"/>
              <w:left w:w="108" w:type="dxa"/>
              <w:bottom w:w="0" w:type="dxa"/>
              <w:right w:w="108" w:type="dxa"/>
            </w:tcMar>
            <w:vAlign w:val="center"/>
          </w:tcPr>
          <w:p w14:paraId="38ED74C9" w14:textId="77777777" w:rsidR="00AE2F13" w:rsidRDefault="00AE2F13" w:rsidP="00644675">
            <w:pPr>
              <w:rPr>
                <w:rFonts w:ascii="Verdana" w:hAnsi="Verdana" w:cs="Arial"/>
                <w:sz w:val="20"/>
              </w:rPr>
            </w:pPr>
          </w:p>
        </w:tc>
        <w:tc>
          <w:tcPr>
            <w:tcW w:w="777" w:type="dxa"/>
            <w:gridSpan w:val="2"/>
            <w:vMerge w:val="restart"/>
            <w:tcBorders>
              <w:right w:val="single" w:sz="8" w:space="0" w:color="000000"/>
            </w:tcBorders>
            <w:shd w:val="clear" w:color="auto" w:fill="auto"/>
            <w:noWrap/>
            <w:tcMar>
              <w:top w:w="0" w:type="dxa"/>
              <w:left w:w="108" w:type="dxa"/>
              <w:bottom w:w="0" w:type="dxa"/>
              <w:right w:w="108" w:type="dxa"/>
            </w:tcMar>
            <w:vAlign w:val="center"/>
          </w:tcPr>
          <w:p w14:paraId="08A6045C" w14:textId="77777777" w:rsidR="00AE2F13" w:rsidRDefault="00AE2F13" w:rsidP="00644675">
            <w:pPr>
              <w:rPr>
                <w:rFonts w:ascii="Verdana" w:hAnsi="Verdana" w:cs="Arial"/>
                <w:sz w:val="20"/>
              </w:rPr>
            </w:pPr>
            <w:r>
              <w:rPr>
                <w:rFonts w:ascii="Verdana" w:hAnsi="Verdana" w:cs="Arial"/>
                <w:sz w:val="20"/>
              </w:rPr>
              <w:t xml:space="preserve">No     </w:t>
            </w:r>
          </w:p>
          <w:p w14:paraId="6401FFE2" w14:textId="77777777" w:rsidR="00AE2F13" w:rsidRDefault="00AE2F13" w:rsidP="00644675">
            <w:pPr>
              <w:rPr>
                <w:rFonts w:ascii="Verdana" w:hAnsi="Verdana" w:cs="Arial"/>
                <w:sz w:val="20"/>
              </w:rPr>
            </w:pPr>
          </w:p>
          <w:p w14:paraId="3BC25F5D" w14:textId="77777777" w:rsidR="00AE2F13" w:rsidRDefault="00AE2F13" w:rsidP="00644675">
            <w:pPr>
              <w:rPr>
                <w:rFonts w:ascii="Verdana" w:hAnsi="Verdana" w:cs="Arial"/>
                <w:sz w:val="20"/>
              </w:rPr>
            </w:pPr>
            <w:r>
              <w:rPr>
                <w:rFonts w:ascii="Verdana" w:hAnsi="Verdana" w:cs="Arial"/>
                <w:sz w:val="20"/>
              </w:rPr>
              <w:t>No</w:t>
            </w:r>
          </w:p>
        </w:tc>
        <w:tc>
          <w:tcPr>
            <w:tcW w:w="1085" w:type="dxa"/>
            <w:tcBorders>
              <w:top w:val="single" w:sz="8" w:space="0" w:color="000000"/>
              <w:left w:val="single" w:sz="8" w:space="0" w:color="000000"/>
              <w:bottom w:val="single" w:sz="4" w:space="0" w:color="auto"/>
              <w:right w:val="single" w:sz="8" w:space="0" w:color="000000"/>
            </w:tcBorders>
            <w:shd w:val="clear" w:color="auto" w:fill="auto"/>
            <w:noWrap/>
            <w:tcMar>
              <w:top w:w="0" w:type="dxa"/>
              <w:left w:w="108" w:type="dxa"/>
              <w:bottom w:w="0" w:type="dxa"/>
              <w:right w:w="108" w:type="dxa"/>
            </w:tcMar>
            <w:vAlign w:val="center"/>
          </w:tcPr>
          <w:p w14:paraId="2AD13998" w14:textId="77777777" w:rsidR="00AE2F13" w:rsidRDefault="00AE2F13" w:rsidP="00785957">
            <w:pPr>
              <w:jc w:val="center"/>
              <w:rPr>
                <w:rFonts w:ascii="Verdana" w:hAnsi="Verdana" w:cs="Arial"/>
                <w:sz w:val="20"/>
              </w:rPr>
            </w:pPr>
          </w:p>
        </w:tc>
      </w:tr>
      <w:tr w:rsidR="00AE2F13" w14:paraId="4BC6F467" w14:textId="77777777" w:rsidTr="001C54C6">
        <w:trPr>
          <w:gridBefore w:val="1"/>
          <w:wBefore w:w="204" w:type="dxa"/>
          <w:cantSplit/>
          <w:trHeight w:val="300"/>
        </w:trPr>
        <w:tc>
          <w:tcPr>
            <w:tcW w:w="3513" w:type="dxa"/>
            <w:gridSpan w:val="6"/>
            <w:vMerge/>
            <w:shd w:val="clear" w:color="auto" w:fill="auto"/>
            <w:noWrap/>
            <w:tcMar>
              <w:top w:w="0" w:type="dxa"/>
              <w:left w:w="108" w:type="dxa"/>
              <w:bottom w:w="0" w:type="dxa"/>
              <w:right w:w="108" w:type="dxa"/>
            </w:tcMar>
            <w:vAlign w:val="center"/>
          </w:tcPr>
          <w:p w14:paraId="5B3EC645" w14:textId="77777777" w:rsidR="00AE2F13" w:rsidRDefault="00AE2F13" w:rsidP="00644675">
            <w:pPr>
              <w:rPr>
                <w:rFonts w:ascii="Verdana" w:hAnsi="Verdana" w:cs="Arial"/>
                <w:sz w:val="20"/>
              </w:rPr>
            </w:pPr>
          </w:p>
        </w:tc>
        <w:tc>
          <w:tcPr>
            <w:tcW w:w="1275" w:type="dxa"/>
            <w:gridSpan w:val="4"/>
            <w:vMerge/>
            <w:shd w:val="clear" w:color="auto" w:fill="auto"/>
            <w:noWrap/>
            <w:tcMar>
              <w:top w:w="0" w:type="dxa"/>
              <w:left w:w="108" w:type="dxa"/>
              <w:bottom w:w="0" w:type="dxa"/>
              <w:right w:w="108" w:type="dxa"/>
            </w:tcMar>
            <w:vAlign w:val="center"/>
          </w:tcPr>
          <w:p w14:paraId="1249273A" w14:textId="77777777" w:rsidR="00AE2F13" w:rsidRDefault="00AE2F13" w:rsidP="00644675">
            <w:pPr>
              <w:rPr>
                <w:rFonts w:ascii="Verdana" w:hAnsi="Verdana" w:cs="Arial"/>
                <w:sz w:val="20"/>
              </w:rPr>
            </w:pPr>
          </w:p>
        </w:tc>
        <w:tc>
          <w:tcPr>
            <w:tcW w:w="1080" w:type="dxa"/>
            <w:gridSpan w:val="7"/>
            <w:tcBorders>
              <w:top w:val="single" w:sz="4" w:space="0" w:color="auto"/>
              <w:bottom w:val="single" w:sz="4" w:space="0" w:color="auto"/>
            </w:tcBorders>
            <w:shd w:val="clear" w:color="auto" w:fill="auto"/>
            <w:tcMar>
              <w:top w:w="0" w:type="dxa"/>
              <w:left w:w="108" w:type="dxa"/>
              <w:bottom w:w="0" w:type="dxa"/>
              <w:right w:w="108" w:type="dxa"/>
            </w:tcMar>
            <w:vAlign w:val="center"/>
          </w:tcPr>
          <w:p w14:paraId="1B728D9A" w14:textId="77777777" w:rsidR="00AE2F13" w:rsidRDefault="00AE2F13" w:rsidP="00644675">
            <w:pPr>
              <w:rPr>
                <w:rFonts w:ascii="Verdana" w:hAnsi="Verdana" w:cs="Arial"/>
                <w:sz w:val="20"/>
              </w:rPr>
            </w:pPr>
          </w:p>
        </w:tc>
        <w:tc>
          <w:tcPr>
            <w:tcW w:w="843" w:type="dxa"/>
            <w:gridSpan w:val="3"/>
            <w:vMerge/>
            <w:tcBorders>
              <w:left w:val="nil"/>
            </w:tcBorders>
            <w:shd w:val="clear" w:color="auto" w:fill="auto"/>
            <w:noWrap/>
            <w:tcMar>
              <w:top w:w="0" w:type="dxa"/>
              <w:left w:w="108" w:type="dxa"/>
              <w:bottom w:w="0" w:type="dxa"/>
              <w:right w:w="108" w:type="dxa"/>
            </w:tcMar>
            <w:vAlign w:val="center"/>
          </w:tcPr>
          <w:p w14:paraId="14AF02E6" w14:textId="77777777" w:rsidR="00AE2F13" w:rsidRDefault="00AE2F13" w:rsidP="00644675">
            <w:pPr>
              <w:rPr>
                <w:rFonts w:ascii="Verdana" w:hAnsi="Verdana" w:cs="Arial"/>
                <w:sz w:val="20"/>
              </w:rPr>
            </w:pPr>
          </w:p>
        </w:tc>
        <w:tc>
          <w:tcPr>
            <w:tcW w:w="777" w:type="dxa"/>
            <w:gridSpan w:val="2"/>
            <w:vMerge/>
            <w:shd w:val="clear" w:color="auto" w:fill="auto"/>
            <w:noWrap/>
            <w:tcMar>
              <w:top w:w="0" w:type="dxa"/>
              <w:left w:w="108" w:type="dxa"/>
              <w:bottom w:w="0" w:type="dxa"/>
              <w:right w:w="108" w:type="dxa"/>
            </w:tcMar>
            <w:vAlign w:val="center"/>
          </w:tcPr>
          <w:p w14:paraId="190EDCA4" w14:textId="77777777" w:rsidR="00AE2F13" w:rsidRDefault="00AE2F13" w:rsidP="00644675">
            <w:pPr>
              <w:rPr>
                <w:rFonts w:ascii="Verdana" w:hAnsi="Verdana" w:cs="Arial"/>
                <w:sz w:val="20"/>
              </w:rPr>
            </w:pPr>
          </w:p>
        </w:tc>
        <w:tc>
          <w:tcPr>
            <w:tcW w:w="1085" w:type="dxa"/>
            <w:tcBorders>
              <w:top w:val="single" w:sz="4" w:space="0" w:color="auto"/>
              <w:bottom w:val="single" w:sz="4" w:space="0" w:color="auto"/>
            </w:tcBorders>
            <w:shd w:val="clear" w:color="auto" w:fill="auto"/>
            <w:noWrap/>
            <w:tcMar>
              <w:top w:w="0" w:type="dxa"/>
              <w:left w:w="108" w:type="dxa"/>
              <w:bottom w:w="0" w:type="dxa"/>
              <w:right w:w="108" w:type="dxa"/>
            </w:tcMar>
            <w:vAlign w:val="center"/>
          </w:tcPr>
          <w:p w14:paraId="6A33440F" w14:textId="77777777" w:rsidR="00AE2F13" w:rsidRDefault="00AE2F13" w:rsidP="00644675">
            <w:pPr>
              <w:rPr>
                <w:rFonts w:ascii="Verdana" w:hAnsi="Verdana" w:cs="Arial"/>
                <w:sz w:val="20"/>
              </w:rPr>
            </w:pPr>
          </w:p>
        </w:tc>
      </w:tr>
      <w:tr w:rsidR="00AE2F13" w14:paraId="0837DC04" w14:textId="77777777" w:rsidTr="001C54C6">
        <w:trPr>
          <w:gridBefore w:val="1"/>
          <w:wBefore w:w="204" w:type="dxa"/>
          <w:cantSplit/>
          <w:trHeight w:val="60"/>
        </w:trPr>
        <w:tc>
          <w:tcPr>
            <w:tcW w:w="3513" w:type="dxa"/>
            <w:gridSpan w:val="6"/>
            <w:vMerge/>
            <w:shd w:val="clear" w:color="auto" w:fill="auto"/>
            <w:noWrap/>
            <w:tcMar>
              <w:top w:w="0" w:type="dxa"/>
              <w:left w:w="108" w:type="dxa"/>
              <w:bottom w:w="0" w:type="dxa"/>
              <w:right w:w="108" w:type="dxa"/>
            </w:tcMar>
            <w:vAlign w:val="center"/>
          </w:tcPr>
          <w:p w14:paraId="2A9ADE0C" w14:textId="77777777" w:rsidR="00AE2F13" w:rsidRDefault="00AE2F13" w:rsidP="00644675">
            <w:pPr>
              <w:rPr>
                <w:rFonts w:ascii="Verdana" w:hAnsi="Verdana" w:cs="Arial"/>
                <w:sz w:val="20"/>
              </w:rPr>
            </w:pPr>
          </w:p>
        </w:tc>
        <w:tc>
          <w:tcPr>
            <w:tcW w:w="1275" w:type="dxa"/>
            <w:gridSpan w:val="4"/>
            <w:vMerge/>
            <w:tcBorders>
              <w:right w:val="single" w:sz="8" w:space="0" w:color="000000"/>
            </w:tcBorders>
            <w:shd w:val="clear" w:color="auto" w:fill="auto"/>
            <w:noWrap/>
            <w:tcMar>
              <w:top w:w="0" w:type="dxa"/>
              <w:left w:w="108" w:type="dxa"/>
              <w:bottom w:w="0" w:type="dxa"/>
              <w:right w:w="108" w:type="dxa"/>
            </w:tcMar>
            <w:vAlign w:val="center"/>
          </w:tcPr>
          <w:p w14:paraId="124548E8" w14:textId="77777777" w:rsidR="00AE2F13" w:rsidRDefault="00AE2F13" w:rsidP="00644675">
            <w:pPr>
              <w:rPr>
                <w:rFonts w:ascii="Verdana" w:hAnsi="Verdana" w:cs="Arial"/>
                <w:sz w:val="20"/>
              </w:rPr>
            </w:pPr>
          </w:p>
        </w:tc>
        <w:tc>
          <w:tcPr>
            <w:tcW w:w="1080" w:type="dxa"/>
            <w:gridSpan w:val="7"/>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C71D4BA" w14:textId="77777777" w:rsidR="00AE2F13" w:rsidRDefault="00AE2F13" w:rsidP="00785957">
            <w:pPr>
              <w:jc w:val="center"/>
              <w:rPr>
                <w:rFonts w:ascii="Verdana" w:hAnsi="Verdana" w:cs="Arial"/>
                <w:sz w:val="20"/>
              </w:rPr>
            </w:pPr>
          </w:p>
        </w:tc>
        <w:tc>
          <w:tcPr>
            <w:tcW w:w="843" w:type="dxa"/>
            <w:gridSpan w:val="3"/>
            <w:vMerge/>
            <w:tcBorders>
              <w:left w:val="single" w:sz="8" w:space="0" w:color="000000"/>
            </w:tcBorders>
            <w:shd w:val="clear" w:color="auto" w:fill="auto"/>
            <w:noWrap/>
            <w:tcMar>
              <w:top w:w="0" w:type="dxa"/>
              <w:left w:w="108" w:type="dxa"/>
              <w:bottom w:w="0" w:type="dxa"/>
              <w:right w:w="108" w:type="dxa"/>
            </w:tcMar>
            <w:vAlign w:val="center"/>
          </w:tcPr>
          <w:p w14:paraId="75FAC7AC" w14:textId="77777777" w:rsidR="00AE2F13" w:rsidRDefault="00AE2F13" w:rsidP="00644675">
            <w:pPr>
              <w:rPr>
                <w:rFonts w:ascii="Verdana" w:hAnsi="Verdana" w:cs="Arial"/>
                <w:sz w:val="20"/>
              </w:rPr>
            </w:pPr>
          </w:p>
        </w:tc>
        <w:tc>
          <w:tcPr>
            <w:tcW w:w="777" w:type="dxa"/>
            <w:gridSpan w:val="2"/>
            <w:vMerge/>
            <w:tcBorders>
              <w:right w:val="single" w:sz="8" w:space="0" w:color="000000"/>
            </w:tcBorders>
            <w:shd w:val="clear" w:color="auto" w:fill="auto"/>
            <w:noWrap/>
            <w:tcMar>
              <w:top w:w="0" w:type="dxa"/>
              <w:left w:w="108" w:type="dxa"/>
              <w:bottom w:w="0" w:type="dxa"/>
              <w:right w:w="108" w:type="dxa"/>
            </w:tcMar>
            <w:vAlign w:val="center"/>
          </w:tcPr>
          <w:p w14:paraId="30CB051A" w14:textId="77777777" w:rsidR="00AE2F13" w:rsidRDefault="00AE2F13" w:rsidP="00644675">
            <w:pPr>
              <w:rPr>
                <w:rFonts w:ascii="Verdana" w:hAnsi="Verdana" w:cs="Arial"/>
                <w:sz w:val="20"/>
              </w:rPr>
            </w:pPr>
          </w:p>
        </w:tc>
        <w:tc>
          <w:tcPr>
            <w:tcW w:w="1085"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571C24D" w14:textId="0C6EBF3E" w:rsidR="00AE2F13" w:rsidRDefault="002C1859" w:rsidP="00785957">
            <w:pPr>
              <w:jc w:val="center"/>
              <w:rPr>
                <w:rFonts w:ascii="Verdana" w:hAnsi="Verdana" w:cs="Arial"/>
                <w:sz w:val="20"/>
              </w:rPr>
            </w:pPr>
            <w:r>
              <w:rPr>
                <w:rFonts w:ascii="Verdana" w:hAnsi="Verdana" w:cs="Arial"/>
                <w:sz w:val="32"/>
                <w:szCs w:val="40"/>
              </w:rPr>
              <w:sym w:font="Wingdings" w:char="F0FC"/>
            </w:r>
          </w:p>
        </w:tc>
      </w:tr>
      <w:tr w:rsidR="00AE2F13" w14:paraId="49C2C8D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62004956" w14:textId="6FBA5D09" w:rsidR="00AE2F13" w:rsidRDefault="00AE2F13" w:rsidP="00644675">
            <w:pPr>
              <w:rPr>
                <w:rFonts w:ascii="Verdana" w:hAnsi="Verdana" w:cs="Arial"/>
                <w:iCs/>
                <w:sz w:val="20"/>
              </w:rPr>
            </w:pPr>
            <w:r>
              <w:rPr>
                <w:rFonts w:ascii="Verdana" w:hAnsi="Verdana" w:cs="Arial"/>
                <w:iCs/>
                <w:sz w:val="20"/>
              </w:rPr>
              <w:t xml:space="preserve">(3) Complies with the </w:t>
            </w:r>
          </w:p>
          <w:p w14:paraId="400A57D0" w14:textId="77777777"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9F8BB51">
                      <wp:simplePos x="0" y="0"/>
                      <wp:positionH relativeFrom="column">
                        <wp:posOffset>2971800</wp:posOffset>
                      </wp:positionH>
                      <wp:positionV relativeFrom="paragraph">
                        <wp:posOffset>3172</wp:posOffset>
                      </wp:positionV>
                      <wp:extent cx="685800" cy="313053"/>
                      <wp:effectExtent l="0" t="0" r="19050" b="10797"/>
                      <wp:wrapNone/>
                      <wp:docPr id="1" name="Text Box 2"/>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0C89747A" w:rsidR="00AE2F13" w:rsidRDefault="002C1859" w:rsidP="00785957">
                                  <w:pPr>
                                    <w:jc w:val="center"/>
                                  </w:pPr>
                                  <w:r>
                                    <w:rPr>
                                      <w:rFonts w:ascii="Verdana" w:hAnsi="Verdana" w:cs="Arial"/>
                                      <w:sz w:val="32"/>
                                      <w:szCs w:val="40"/>
                                    </w:rPr>
                                    <w:sym w:font="Wingdings" w:char="F0FC"/>
                                  </w:r>
                                </w:p>
                              </w:txbxContent>
                            </wps:txbx>
                            <wps:bodyPr vert="horz" wrap="square" lIns="91440" tIns="45720" rIns="91440" bIns="45720" anchor="t" anchorCtr="0" compatLnSpc="0">
                              <a:noAutofit/>
                            </wps:bodyPr>
                          </wps:wsp>
                        </a:graphicData>
                      </a:graphic>
                    </wp:anchor>
                  </w:drawing>
                </mc:Choice>
                <mc:Fallback>
                  <w:pict>
                    <v:shapetype w14:anchorId="54CC3ACD" id="_x0000_t202" coordsize="21600,21600" o:spt="202" path="m,l,21600r21600,l21600,xe">
                      <v:stroke joinstyle="miter"/>
                      <v:path gradientshapeok="t" o:connecttype="rect"/>
                    </v:shapetype>
                    <v:shape id="Text Box 2" o:spid="_x0000_s1026" type="#_x0000_t202"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" strokeweight=".26467mm">
                      <v:textbox>
                        <w:txbxContent>
                          <w:p w14:paraId="1F6313BA" w14:textId="0C89747A" w:rsidR="00AE2F13" w:rsidRDefault="002C1859" w:rsidP="00785957">
                            <w:pPr>
                              <w:jc w:val="center"/>
                            </w:pPr>
                            <w:r>
                              <w:rPr>
                                <w:rFonts w:ascii="Verdana" w:hAnsi="Verdana" w:cs="Arial"/>
                                <w:sz w:val="32"/>
                                <w:szCs w:val="40"/>
                              </w:rPr>
                              <w:sym w:font="Wingdings" w:char="F0FC"/>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517D9C1F">
                      <wp:simplePos x="0" y="0"/>
                      <wp:positionH relativeFrom="column">
                        <wp:posOffset>4684398</wp:posOffset>
                      </wp:positionH>
                      <wp:positionV relativeFrom="paragraph">
                        <wp:posOffset>1901</wp:posOffset>
                      </wp:positionV>
                      <wp:extent cx="685800" cy="342900"/>
                      <wp:effectExtent l="0" t="0" r="19050" b="19050"/>
                      <wp:wrapNone/>
                      <wp:docPr id="2" name="Text Box 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77777777" w:rsidR="00AE2F13" w:rsidRDefault="00AE2F13" w:rsidP="00785957">
                                  <w:pPr>
                                    <w:jc w:val="center"/>
                                  </w:pPr>
                                </w:p>
                              </w:txbxContent>
                            </wps:txbx>
                            <wps:bodyPr vert="horz" wrap="square" lIns="91440" tIns="45720" rIns="91440" bIns="45720" anchor="t" anchorCtr="0" compatLnSpc="0">
                              <a:noAutofit/>
                            </wps:bodyPr>
                          </wps:wsp>
                        </a:graphicData>
                      </a:graphic>
                    </wp:anchor>
                  </w:drawing>
                </mc:Choice>
                <mc:Fallback>
                  <w:pict>
                    <v:shape w14:anchorId="1636DB09" id="Text Box 1" o:spid="_x0000_s1027" type="#_x0000_t202"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" strokeweight=".26467mm">
                      <v:textbox>
                        <w:txbxContent>
                          <w:p w14:paraId="79CD1DB8" w14:textId="77777777" w:rsidR="00AE2F13" w:rsidRDefault="00AE2F13" w:rsidP="00785957">
                            <w:pPr>
                              <w:jc w:val="center"/>
                            </w:pPr>
                          </w:p>
                        </w:txbxContent>
                      </v:textbox>
                    </v:shape>
                  </w:pict>
                </mc:Fallback>
              </mc:AlternateContent>
            </w:r>
            <w:r>
              <w:rPr>
                <w:rFonts w:ascii="Verdana" w:hAnsi="Verdana" w:cs="Arial"/>
                <w:iCs/>
                <w:sz w:val="20"/>
              </w:rPr>
              <w:t xml:space="preserve">Duty to co-operate                     Yes                                         No                       </w:t>
            </w:r>
          </w:p>
          <w:p w14:paraId="67D78BCB" w14:textId="77777777" w:rsidR="00AE2F13" w:rsidRDefault="00AE2F13" w:rsidP="00644675">
            <w:pPr>
              <w:ind w:left="113"/>
              <w:rPr>
                <w:rFonts w:ascii="Verdana" w:hAnsi="Verdana" w:cs="Arial"/>
                <w:iCs/>
                <w:sz w:val="20"/>
              </w:rPr>
            </w:pPr>
          </w:p>
          <w:p w14:paraId="531AE4A7" w14:textId="77777777" w:rsidR="00AE2F13" w:rsidRDefault="00AE2F13" w:rsidP="00644675">
            <w:pPr>
              <w:ind w:left="113"/>
              <w:rPr>
                <w:rFonts w:ascii="Verdana" w:hAnsi="Verdana" w:cs="Arial"/>
                <w:iCs/>
                <w:sz w:val="20"/>
              </w:rPr>
            </w:pPr>
            <w:r>
              <w:rPr>
                <w:rFonts w:ascii="Verdana" w:hAnsi="Verdana" w:cs="Arial"/>
                <w:iCs/>
                <w:sz w:val="20"/>
              </w:rPr>
              <w:t xml:space="preserve">            </w:t>
            </w:r>
          </w:p>
        </w:tc>
      </w:tr>
      <w:tr w:rsidR="00AE2F13" w14:paraId="72805950" w14:textId="77777777" w:rsidTr="009107B9">
        <w:trPr>
          <w:gridBefore w:val="1"/>
          <w:wBefore w:w="204" w:type="dxa"/>
          <w:cantSplit/>
          <w:trHeight w:val="405"/>
        </w:trPr>
        <w:tc>
          <w:tcPr>
            <w:tcW w:w="8573" w:type="dxa"/>
            <w:gridSpan w:val="23"/>
            <w:shd w:val="clear" w:color="auto" w:fill="auto"/>
            <w:noWrap/>
            <w:tcMar>
              <w:top w:w="0" w:type="dxa"/>
              <w:left w:w="108" w:type="dxa"/>
              <w:bottom w:w="0" w:type="dxa"/>
              <w:right w:w="108" w:type="dxa"/>
            </w:tcMar>
          </w:tcPr>
          <w:p w14:paraId="509EADDA" w14:textId="77777777" w:rsidR="00AE2F13" w:rsidRDefault="00AE2F13" w:rsidP="00644675">
            <w:r>
              <w:rPr>
                <w:rFonts w:ascii="Verdana" w:hAnsi="Verdana" w:cs="Arial"/>
                <w:sz w:val="16"/>
                <w:szCs w:val="16"/>
              </w:rPr>
              <w:t>Please tick as appropriate</w:t>
            </w:r>
          </w:p>
        </w:tc>
      </w:tr>
      <w:tr w:rsidR="00AE2F13" w14:paraId="2B481CB1"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346DF7E8" w14:textId="77777777"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6BE72C6B" w14:textId="77777777" w:rsidR="00AE2F13" w:rsidRDefault="00AE2F13" w:rsidP="00644675">
            <w:pPr>
              <w:rPr>
                <w:rFonts w:ascii="Verdana" w:hAnsi="Verdana" w:cs="Arial"/>
                <w:sz w:val="20"/>
              </w:rPr>
            </w:pPr>
            <w:r>
              <w:rPr>
                <w:rFonts w:ascii="Verdana" w:hAnsi="Verdana" w:cs="Arial"/>
                <w:sz w:val="20"/>
              </w:rPr>
              <w:t xml:space="preserve">If you wish to support the legal compliance or soundness of the Local Plan or its compliance with the duty to co-operate, please also use this box to set out your comments. </w:t>
            </w:r>
          </w:p>
          <w:p w14:paraId="79CC3CDE" w14:textId="3FD1BA5C" w:rsidR="009107B9" w:rsidRDefault="009107B9" w:rsidP="00644675"/>
        </w:tc>
      </w:tr>
      <w:tr w:rsidR="00AE2F13" w14:paraId="7D1DC76D"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0AC4CE82" w14:textId="77777777" w:rsidR="00AE2F13" w:rsidRPr="00785957" w:rsidRDefault="00AE2F13" w:rsidP="00644675">
            <w:pPr>
              <w:rPr>
                <w:rFonts w:ascii="Verdana" w:hAnsi="Verdana" w:cs="Arial"/>
                <w:sz w:val="20"/>
                <w:szCs w:val="20"/>
              </w:rPr>
            </w:pPr>
          </w:p>
          <w:p w14:paraId="3B331809" w14:textId="2F7D7CD7" w:rsidR="00AE2F13" w:rsidRDefault="002C1859" w:rsidP="00644675">
            <w:pPr>
              <w:rPr>
                <w:rFonts w:ascii="Verdana" w:hAnsi="Verdana" w:cs="Arial"/>
                <w:sz w:val="20"/>
                <w:szCs w:val="20"/>
              </w:rPr>
            </w:pPr>
            <w:r>
              <w:rPr>
                <w:rFonts w:ascii="Verdana" w:hAnsi="Verdana" w:cs="Arial"/>
                <w:sz w:val="20"/>
                <w:szCs w:val="20"/>
              </w:rPr>
              <w:t xml:space="preserve">The suggested housing requirement included in the </w:t>
            </w:r>
            <w:r w:rsidR="007920C1">
              <w:rPr>
                <w:rFonts w:ascii="Verdana" w:hAnsi="Verdana" w:cs="Arial"/>
                <w:sz w:val="20"/>
                <w:szCs w:val="20"/>
              </w:rPr>
              <w:t>P</w:t>
            </w:r>
            <w:r>
              <w:rPr>
                <w:rFonts w:ascii="Verdana" w:hAnsi="Verdana" w:cs="Arial"/>
                <w:sz w:val="20"/>
                <w:szCs w:val="20"/>
              </w:rPr>
              <w:t xml:space="preserve">lan, of 9,089 dwellings, is fundamentally flawed.  It is not supported by robust evidence and will not result in </w:t>
            </w:r>
            <w:r w:rsidR="007920C1">
              <w:rPr>
                <w:rFonts w:ascii="Verdana" w:hAnsi="Verdana" w:cs="Arial"/>
                <w:sz w:val="20"/>
                <w:szCs w:val="20"/>
              </w:rPr>
              <w:t>a</w:t>
            </w:r>
            <w:r>
              <w:rPr>
                <w:rFonts w:ascii="Verdana" w:hAnsi="Verdana" w:cs="Arial"/>
                <w:sz w:val="20"/>
                <w:szCs w:val="20"/>
              </w:rPr>
              <w:t xml:space="preserve"> sufficient quantum of development being delivered to support the growth requirements of South Staffordshire </w:t>
            </w:r>
            <w:r w:rsidR="00127BAE">
              <w:rPr>
                <w:rFonts w:ascii="Verdana" w:hAnsi="Verdana" w:cs="Arial"/>
                <w:sz w:val="20"/>
                <w:szCs w:val="20"/>
              </w:rPr>
              <w:t>or</w:t>
            </w:r>
            <w:r>
              <w:rPr>
                <w:rFonts w:ascii="Verdana" w:hAnsi="Verdana" w:cs="Arial"/>
                <w:sz w:val="20"/>
                <w:szCs w:val="20"/>
              </w:rPr>
              <w:t xml:space="preserve"> the conurbation.</w:t>
            </w:r>
          </w:p>
          <w:p w14:paraId="217DBBCC" w14:textId="6F9A46DD" w:rsidR="002C1859" w:rsidRDefault="002C1859" w:rsidP="00644675">
            <w:pPr>
              <w:rPr>
                <w:rFonts w:ascii="Verdana" w:hAnsi="Verdana" w:cs="Arial"/>
                <w:sz w:val="20"/>
                <w:szCs w:val="20"/>
              </w:rPr>
            </w:pPr>
          </w:p>
          <w:p w14:paraId="0C9D909D" w14:textId="1FF0CF78" w:rsidR="002C1859" w:rsidRDefault="002C1859" w:rsidP="00644675">
            <w:pPr>
              <w:rPr>
                <w:rFonts w:ascii="Verdana" w:hAnsi="Verdana" w:cs="Arial"/>
                <w:sz w:val="20"/>
                <w:szCs w:val="20"/>
              </w:rPr>
            </w:pPr>
            <w:r>
              <w:rPr>
                <w:rFonts w:ascii="Verdana" w:hAnsi="Verdana" w:cs="Arial"/>
                <w:sz w:val="20"/>
                <w:szCs w:val="20"/>
              </w:rPr>
              <w:t xml:space="preserve">There are two components to the housing requirement identified in the </w:t>
            </w:r>
            <w:r w:rsidR="00AB0708">
              <w:rPr>
                <w:rFonts w:ascii="Verdana" w:hAnsi="Verdana" w:cs="Arial"/>
                <w:sz w:val="20"/>
                <w:szCs w:val="20"/>
              </w:rPr>
              <w:t>P</w:t>
            </w:r>
            <w:r>
              <w:rPr>
                <w:rFonts w:ascii="Verdana" w:hAnsi="Verdana" w:cs="Arial"/>
                <w:sz w:val="20"/>
                <w:szCs w:val="20"/>
              </w:rPr>
              <w:t>lan.  The first is the quantum of housing required to meet South Staffordshire’s growth requirements and the second is the additional housing that is required to contribute towards meeting the unmet needs arising from Birmingham and the Black Country</w:t>
            </w:r>
            <w:r w:rsidR="007920C1">
              <w:rPr>
                <w:rFonts w:ascii="Verdana" w:hAnsi="Verdana" w:cs="Arial"/>
                <w:sz w:val="20"/>
                <w:szCs w:val="20"/>
              </w:rPr>
              <w:t>. There are significant problems with both parts of the housing target.</w:t>
            </w:r>
          </w:p>
          <w:p w14:paraId="0D783E39" w14:textId="58F7B5DF" w:rsidR="007920C1" w:rsidRDefault="007920C1" w:rsidP="00644675">
            <w:pPr>
              <w:rPr>
                <w:rFonts w:ascii="Verdana" w:hAnsi="Verdana" w:cs="Arial"/>
                <w:sz w:val="20"/>
                <w:szCs w:val="20"/>
              </w:rPr>
            </w:pPr>
          </w:p>
          <w:p w14:paraId="32090973" w14:textId="2A51109D" w:rsidR="007920C1" w:rsidRPr="007920C1" w:rsidRDefault="007920C1" w:rsidP="00644675">
            <w:pPr>
              <w:rPr>
                <w:rFonts w:ascii="Verdana" w:hAnsi="Verdana" w:cs="Arial"/>
                <w:b/>
                <w:bCs/>
                <w:i/>
                <w:iCs/>
                <w:sz w:val="20"/>
                <w:szCs w:val="20"/>
              </w:rPr>
            </w:pPr>
            <w:r w:rsidRPr="007920C1">
              <w:rPr>
                <w:rFonts w:ascii="Verdana" w:hAnsi="Verdana" w:cs="Arial"/>
                <w:b/>
                <w:bCs/>
                <w:i/>
                <w:iCs/>
                <w:sz w:val="20"/>
                <w:szCs w:val="20"/>
              </w:rPr>
              <w:t xml:space="preserve">South Staffordshire Housing Requirement (excluding unmet need from the conurbation) </w:t>
            </w:r>
          </w:p>
          <w:p w14:paraId="4C745DB0" w14:textId="273B0B78" w:rsidR="002C1859" w:rsidRDefault="002C1859" w:rsidP="00644675">
            <w:pPr>
              <w:rPr>
                <w:rFonts w:ascii="Verdana" w:hAnsi="Verdana" w:cs="Arial"/>
                <w:sz w:val="20"/>
                <w:szCs w:val="20"/>
              </w:rPr>
            </w:pPr>
          </w:p>
          <w:p w14:paraId="1F33CEF7" w14:textId="103AF74D" w:rsidR="002C1859" w:rsidRDefault="002C1859" w:rsidP="00644675">
            <w:pPr>
              <w:rPr>
                <w:rFonts w:ascii="Verdana" w:hAnsi="Verdana" w:cs="Arial"/>
                <w:sz w:val="20"/>
                <w:szCs w:val="20"/>
              </w:rPr>
            </w:pPr>
            <w:r>
              <w:rPr>
                <w:rFonts w:ascii="Verdana" w:hAnsi="Verdana" w:cs="Arial"/>
                <w:sz w:val="20"/>
                <w:szCs w:val="20"/>
              </w:rPr>
              <w:t>Paragraph 61 of the Framework advises that to determine the minimum number of homes needed, strategic policies should be in</w:t>
            </w:r>
            <w:r w:rsidR="007920C1">
              <w:rPr>
                <w:rFonts w:ascii="Verdana" w:hAnsi="Verdana" w:cs="Arial"/>
                <w:sz w:val="20"/>
                <w:szCs w:val="20"/>
              </w:rPr>
              <w:t>formed</w:t>
            </w:r>
            <w:r>
              <w:rPr>
                <w:rFonts w:ascii="Verdana" w:hAnsi="Verdana" w:cs="Arial"/>
                <w:sz w:val="20"/>
                <w:szCs w:val="20"/>
              </w:rPr>
              <w:t xml:space="preserve"> by </w:t>
            </w:r>
            <w:r w:rsidR="007920C1">
              <w:rPr>
                <w:rFonts w:ascii="Verdana" w:hAnsi="Verdana" w:cs="Arial"/>
                <w:sz w:val="20"/>
                <w:szCs w:val="20"/>
              </w:rPr>
              <w:t xml:space="preserve">a </w:t>
            </w:r>
            <w:r>
              <w:rPr>
                <w:rFonts w:ascii="Verdana" w:hAnsi="Verdana" w:cs="Arial"/>
                <w:sz w:val="20"/>
                <w:szCs w:val="20"/>
              </w:rPr>
              <w:t>Local Housing Needs Assessment, conducted using the Standard Method in the National Planning Practice Guide.  That being the case, the Standard Method is the starting point for establishing the scale of the housing required to meet South Staffordshire’s housing needs.  Paragraph 5.9 of the draft plan suggests that this is 241 dwellings per annum, starting from 2022 and running to 2039.</w:t>
            </w:r>
          </w:p>
          <w:p w14:paraId="4FE1B72B" w14:textId="213CC93C" w:rsidR="002C1859" w:rsidRDefault="002C1859" w:rsidP="00644675">
            <w:pPr>
              <w:rPr>
                <w:rFonts w:ascii="Verdana" w:hAnsi="Verdana" w:cs="Arial"/>
                <w:sz w:val="20"/>
                <w:szCs w:val="20"/>
              </w:rPr>
            </w:pPr>
          </w:p>
          <w:p w14:paraId="3400C9C1" w14:textId="028CBC8C" w:rsidR="002C1859" w:rsidRDefault="00127BAE" w:rsidP="00644675">
            <w:pPr>
              <w:rPr>
                <w:rFonts w:ascii="Verdana" w:hAnsi="Verdana" w:cs="Arial"/>
                <w:sz w:val="20"/>
                <w:szCs w:val="20"/>
              </w:rPr>
            </w:pPr>
            <w:r>
              <w:rPr>
                <w:rFonts w:ascii="Verdana" w:hAnsi="Verdana" w:cs="Arial"/>
                <w:sz w:val="20"/>
                <w:szCs w:val="20"/>
              </w:rPr>
              <w:t>However, t</w:t>
            </w:r>
            <w:r w:rsidR="002C1859">
              <w:rPr>
                <w:rFonts w:ascii="Verdana" w:hAnsi="Verdana" w:cs="Arial"/>
                <w:sz w:val="20"/>
                <w:szCs w:val="20"/>
              </w:rPr>
              <w:t>he South Staffordshire Housing Market Assessment May 2021 (“</w:t>
            </w:r>
            <w:r w:rsidR="0056525A">
              <w:rPr>
                <w:rFonts w:ascii="Verdana" w:hAnsi="Verdana" w:cs="Arial"/>
                <w:b/>
                <w:bCs/>
                <w:i/>
                <w:iCs/>
                <w:sz w:val="20"/>
                <w:szCs w:val="20"/>
              </w:rPr>
              <w:t>SSH</w:t>
            </w:r>
            <w:r w:rsidR="002C1859">
              <w:rPr>
                <w:rFonts w:ascii="Verdana" w:hAnsi="Verdana" w:cs="Arial"/>
                <w:b/>
                <w:bCs/>
                <w:i/>
                <w:iCs/>
                <w:sz w:val="20"/>
                <w:szCs w:val="20"/>
              </w:rPr>
              <w:t>MA</w:t>
            </w:r>
            <w:r w:rsidR="002C1859">
              <w:rPr>
                <w:rFonts w:ascii="Verdana" w:hAnsi="Verdana" w:cs="Arial"/>
                <w:sz w:val="20"/>
                <w:szCs w:val="20"/>
              </w:rPr>
              <w:t xml:space="preserve">”) had been prepared to help inform the </w:t>
            </w:r>
            <w:r w:rsidR="007920C1">
              <w:rPr>
                <w:rFonts w:ascii="Verdana" w:hAnsi="Verdana" w:cs="Arial"/>
                <w:sz w:val="20"/>
                <w:szCs w:val="20"/>
              </w:rPr>
              <w:t>P</w:t>
            </w:r>
            <w:r w:rsidR="002C1859">
              <w:rPr>
                <w:rFonts w:ascii="Verdana" w:hAnsi="Verdana" w:cs="Arial"/>
                <w:sz w:val="20"/>
                <w:szCs w:val="20"/>
              </w:rPr>
              <w:t xml:space="preserve">lan’s overall housing requirement.  It concludes that </w:t>
            </w:r>
            <w:r>
              <w:rPr>
                <w:rFonts w:ascii="Verdana" w:hAnsi="Verdana" w:cs="Arial"/>
                <w:sz w:val="20"/>
                <w:szCs w:val="20"/>
              </w:rPr>
              <w:t xml:space="preserve">in </w:t>
            </w:r>
            <w:r w:rsidR="002C1859">
              <w:rPr>
                <w:rFonts w:ascii="Verdana" w:hAnsi="Verdana" w:cs="Arial"/>
                <w:sz w:val="20"/>
                <w:szCs w:val="20"/>
              </w:rPr>
              <w:t>using the Standard Method “</w:t>
            </w:r>
            <w:r w:rsidR="002C1859" w:rsidRPr="002C1859">
              <w:rPr>
                <w:rFonts w:ascii="Verdana" w:hAnsi="Verdana" w:cs="Arial"/>
                <w:i/>
                <w:iCs/>
                <w:sz w:val="20"/>
                <w:szCs w:val="20"/>
              </w:rPr>
              <w:t xml:space="preserve">across the </w:t>
            </w:r>
            <w:proofErr w:type="gramStart"/>
            <w:r w:rsidR="002C1859" w:rsidRPr="002C1859">
              <w:rPr>
                <w:rFonts w:ascii="Verdana" w:hAnsi="Verdana" w:cs="Arial"/>
                <w:i/>
                <w:iCs/>
                <w:sz w:val="20"/>
                <w:szCs w:val="20"/>
              </w:rPr>
              <w:t>20 year</w:t>
            </w:r>
            <w:proofErr w:type="gramEnd"/>
            <w:r w:rsidR="002C1859" w:rsidRPr="002C1859">
              <w:rPr>
                <w:rFonts w:ascii="Verdana" w:hAnsi="Verdana" w:cs="Arial"/>
                <w:i/>
                <w:iCs/>
                <w:sz w:val="20"/>
                <w:szCs w:val="20"/>
              </w:rPr>
              <w:t xml:space="preserve"> plan period it is </w:t>
            </w:r>
            <w:r w:rsidR="002C1859" w:rsidRPr="002C1859">
              <w:rPr>
                <w:rFonts w:ascii="Verdana" w:hAnsi="Verdana" w:cs="Arial"/>
                <w:i/>
                <w:iCs/>
                <w:sz w:val="20"/>
                <w:szCs w:val="20"/>
              </w:rPr>
              <w:lastRenderedPageBreak/>
              <w:t>therefore intended that 5,068 new homes will be delivered to address the housing need in South Staffordshire</w:t>
            </w:r>
            <w:r w:rsidR="002C1859">
              <w:rPr>
                <w:rFonts w:ascii="Verdana" w:hAnsi="Verdana" w:cs="Arial"/>
                <w:sz w:val="20"/>
                <w:szCs w:val="20"/>
              </w:rPr>
              <w:t>” (paragraph 4.16).</w:t>
            </w:r>
            <w:r w:rsidR="000E630D">
              <w:rPr>
                <w:rFonts w:ascii="Verdana" w:hAnsi="Verdana" w:cs="Arial"/>
                <w:sz w:val="20"/>
                <w:szCs w:val="20"/>
              </w:rPr>
              <w:t xml:space="preserve">  Now that the </w:t>
            </w:r>
            <w:r w:rsidR="007920C1">
              <w:rPr>
                <w:rFonts w:ascii="Verdana" w:hAnsi="Verdana" w:cs="Arial"/>
                <w:sz w:val="20"/>
                <w:szCs w:val="20"/>
              </w:rPr>
              <w:t>P</w:t>
            </w:r>
            <w:r w:rsidR="000E630D">
              <w:rPr>
                <w:rFonts w:ascii="Verdana" w:hAnsi="Verdana" w:cs="Arial"/>
                <w:sz w:val="20"/>
                <w:szCs w:val="20"/>
              </w:rPr>
              <w:t xml:space="preserve">lan period has been extended to 21 years this would increase on a pro rata basis to 5,322 dwellings.  </w:t>
            </w:r>
            <w:r>
              <w:rPr>
                <w:rFonts w:ascii="Verdana" w:hAnsi="Verdana" w:cs="Arial"/>
                <w:sz w:val="20"/>
                <w:szCs w:val="20"/>
              </w:rPr>
              <w:t xml:space="preserve">By contrast, the Standard Method figure </w:t>
            </w:r>
            <w:r w:rsidR="000E630D">
              <w:rPr>
                <w:rFonts w:ascii="Verdana" w:hAnsi="Verdana" w:cs="Arial"/>
                <w:sz w:val="20"/>
                <w:szCs w:val="20"/>
              </w:rPr>
              <w:t xml:space="preserve">guidance is not reflected in the </w:t>
            </w:r>
            <w:r>
              <w:rPr>
                <w:rFonts w:ascii="Verdana" w:hAnsi="Verdana" w:cs="Arial"/>
                <w:sz w:val="20"/>
                <w:szCs w:val="20"/>
              </w:rPr>
              <w:t>P</w:t>
            </w:r>
            <w:r w:rsidR="000E630D">
              <w:rPr>
                <w:rFonts w:ascii="Verdana" w:hAnsi="Verdana" w:cs="Arial"/>
                <w:sz w:val="20"/>
                <w:szCs w:val="20"/>
              </w:rPr>
              <w:t xml:space="preserve">re-submission </w:t>
            </w:r>
            <w:r w:rsidR="007920C1">
              <w:rPr>
                <w:rFonts w:ascii="Verdana" w:hAnsi="Verdana" w:cs="Arial"/>
                <w:sz w:val="20"/>
                <w:szCs w:val="20"/>
              </w:rPr>
              <w:t>P</w:t>
            </w:r>
            <w:r w:rsidR="000E630D">
              <w:rPr>
                <w:rFonts w:ascii="Verdana" w:hAnsi="Verdana" w:cs="Arial"/>
                <w:sz w:val="20"/>
                <w:szCs w:val="20"/>
              </w:rPr>
              <w:t xml:space="preserve">lan.  </w:t>
            </w:r>
            <w:r w:rsidR="00706F4C">
              <w:rPr>
                <w:rFonts w:ascii="Verdana" w:hAnsi="Verdana" w:cs="Arial"/>
                <w:sz w:val="20"/>
                <w:szCs w:val="20"/>
              </w:rPr>
              <w:t>Instead</w:t>
            </w:r>
            <w:r>
              <w:rPr>
                <w:rFonts w:ascii="Verdana" w:hAnsi="Verdana" w:cs="Arial"/>
                <w:sz w:val="20"/>
                <w:szCs w:val="20"/>
              </w:rPr>
              <w:t>,</w:t>
            </w:r>
            <w:r w:rsidR="00706F4C">
              <w:rPr>
                <w:rFonts w:ascii="Verdana" w:hAnsi="Verdana" w:cs="Arial"/>
                <w:sz w:val="20"/>
                <w:szCs w:val="20"/>
              </w:rPr>
              <w:t xml:space="preserve"> it is </w:t>
            </w:r>
            <w:r w:rsidR="000E630D">
              <w:rPr>
                <w:rFonts w:ascii="Verdana" w:hAnsi="Verdana" w:cs="Arial"/>
                <w:sz w:val="20"/>
                <w:szCs w:val="20"/>
              </w:rPr>
              <w:t>suggested that the housing requirements is 5,089 dwellings (Table 7 – 4,097 dwellings plus 992 dwellings).  The plan is not</w:t>
            </w:r>
            <w:r w:rsidR="00706F4C">
              <w:rPr>
                <w:rFonts w:ascii="Verdana" w:hAnsi="Verdana" w:cs="Arial"/>
                <w:sz w:val="20"/>
                <w:szCs w:val="20"/>
              </w:rPr>
              <w:t>, therefore,</w:t>
            </w:r>
            <w:r w:rsidR="000E630D">
              <w:rPr>
                <w:rFonts w:ascii="Verdana" w:hAnsi="Verdana" w:cs="Arial"/>
                <w:sz w:val="20"/>
                <w:szCs w:val="20"/>
              </w:rPr>
              <w:t xml:space="preserve"> based upon a Standard Method housing requirement.</w:t>
            </w:r>
          </w:p>
          <w:p w14:paraId="5EEC60F5" w14:textId="2D50805B" w:rsidR="000E630D" w:rsidRDefault="000E630D" w:rsidP="00644675">
            <w:pPr>
              <w:rPr>
                <w:rFonts w:ascii="Verdana" w:hAnsi="Verdana" w:cs="Arial"/>
                <w:sz w:val="20"/>
                <w:szCs w:val="20"/>
              </w:rPr>
            </w:pPr>
          </w:p>
          <w:p w14:paraId="0458E560" w14:textId="6C29F2FD" w:rsidR="000E630D" w:rsidRDefault="000E630D" w:rsidP="00644675">
            <w:pPr>
              <w:rPr>
                <w:rFonts w:ascii="Verdana" w:hAnsi="Verdana" w:cs="Arial"/>
                <w:sz w:val="20"/>
                <w:szCs w:val="20"/>
              </w:rPr>
            </w:pPr>
            <w:r>
              <w:rPr>
                <w:rFonts w:ascii="Verdana" w:hAnsi="Verdana" w:cs="Arial"/>
                <w:sz w:val="20"/>
                <w:szCs w:val="20"/>
              </w:rPr>
              <w:t xml:space="preserve">One of the key reasons for the </w:t>
            </w:r>
            <w:r w:rsidR="007920C1">
              <w:rPr>
                <w:rFonts w:ascii="Verdana" w:hAnsi="Verdana" w:cs="Arial"/>
                <w:sz w:val="20"/>
                <w:szCs w:val="20"/>
              </w:rPr>
              <w:t>P</w:t>
            </w:r>
            <w:r>
              <w:rPr>
                <w:rFonts w:ascii="Verdana" w:hAnsi="Verdana" w:cs="Arial"/>
                <w:sz w:val="20"/>
                <w:szCs w:val="20"/>
              </w:rPr>
              <w:t xml:space="preserve">lan including </w:t>
            </w:r>
            <w:r w:rsidR="007920C1">
              <w:rPr>
                <w:rFonts w:ascii="Verdana" w:hAnsi="Verdana" w:cs="Arial"/>
                <w:sz w:val="20"/>
                <w:szCs w:val="20"/>
              </w:rPr>
              <w:t>a South Staffordshire</w:t>
            </w:r>
            <w:r>
              <w:rPr>
                <w:rFonts w:ascii="Verdana" w:hAnsi="Verdana" w:cs="Arial"/>
                <w:sz w:val="20"/>
                <w:szCs w:val="20"/>
              </w:rPr>
              <w:t xml:space="preserve"> housing requirement below the Standard Method requirement is that completions to date from the start of the plan period are used as a proxy for housing need for the period 2018 to 2022.  There have been 992 completions during this period.  There is no evidence to suggest that the 992 completions </w:t>
            </w:r>
            <w:r w:rsidR="007920C1">
              <w:rPr>
                <w:rFonts w:ascii="Verdana" w:hAnsi="Verdana" w:cs="Arial"/>
                <w:sz w:val="20"/>
                <w:szCs w:val="20"/>
              </w:rPr>
              <w:t>were</w:t>
            </w:r>
            <w:r>
              <w:rPr>
                <w:rFonts w:ascii="Verdana" w:hAnsi="Verdana" w:cs="Arial"/>
                <w:sz w:val="20"/>
                <w:szCs w:val="20"/>
              </w:rPr>
              <w:t xml:space="preserve"> sufficient to meet the housing requirements of the district during this period.  </w:t>
            </w:r>
          </w:p>
          <w:p w14:paraId="29645105" w14:textId="0884FE91" w:rsidR="000E630D" w:rsidRDefault="000E630D" w:rsidP="00644675">
            <w:pPr>
              <w:rPr>
                <w:rFonts w:ascii="Verdana" w:hAnsi="Verdana" w:cs="Arial"/>
                <w:sz w:val="20"/>
                <w:szCs w:val="20"/>
              </w:rPr>
            </w:pPr>
          </w:p>
          <w:p w14:paraId="7126BAAB" w14:textId="06701D8A" w:rsidR="000E630D" w:rsidRDefault="00127BAE" w:rsidP="00644675">
            <w:pPr>
              <w:rPr>
                <w:rFonts w:ascii="Verdana" w:hAnsi="Verdana" w:cs="Arial"/>
                <w:sz w:val="20"/>
                <w:szCs w:val="20"/>
              </w:rPr>
            </w:pPr>
            <w:r>
              <w:rPr>
                <w:rFonts w:ascii="Verdana" w:hAnsi="Verdana" w:cs="Arial"/>
                <w:sz w:val="20"/>
                <w:szCs w:val="20"/>
              </w:rPr>
              <w:t xml:space="preserve">In this </w:t>
            </w:r>
            <w:proofErr w:type="gramStart"/>
            <w:r>
              <w:rPr>
                <w:rFonts w:ascii="Verdana" w:hAnsi="Verdana" w:cs="Arial"/>
                <w:sz w:val="20"/>
                <w:szCs w:val="20"/>
              </w:rPr>
              <w:t>time period</w:t>
            </w:r>
            <w:proofErr w:type="gramEnd"/>
            <w:r>
              <w:rPr>
                <w:rFonts w:ascii="Verdana" w:hAnsi="Verdana" w:cs="Arial"/>
                <w:sz w:val="20"/>
                <w:szCs w:val="20"/>
              </w:rPr>
              <w:t xml:space="preserve"> housing d</w:t>
            </w:r>
            <w:r w:rsidR="000E630D">
              <w:rPr>
                <w:rFonts w:ascii="Verdana" w:hAnsi="Verdana" w:cs="Arial"/>
                <w:sz w:val="20"/>
                <w:szCs w:val="20"/>
              </w:rPr>
              <w:t xml:space="preserve">evelopments </w:t>
            </w:r>
            <w:r w:rsidR="007920C1">
              <w:rPr>
                <w:rFonts w:ascii="Verdana" w:hAnsi="Verdana" w:cs="Arial"/>
                <w:sz w:val="20"/>
                <w:szCs w:val="20"/>
              </w:rPr>
              <w:t>in South Staffordshire</w:t>
            </w:r>
            <w:r w:rsidR="000E630D">
              <w:rPr>
                <w:rFonts w:ascii="Verdana" w:hAnsi="Verdana" w:cs="Arial"/>
                <w:sz w:val="20"/>
                <w:szCs w:val="20"/>
              </w:rPr>
              <w:t xml:space="preserve"> have been restricted by the fact that </w:t>
            </w:r>
            <w:r w:rsidR="00DD5684">
              <w:rPr>
                <w:rFonts w:ascii="Verdana" w:hAnsi="Verdana" w:cs="Arial"/>
                <w:sz w:val="20"/>
                <w:szCs w:val="20"/>
              </w:rPr>
              <w:t>a</w:t>
            </w:r>
            <w:r w:rsidR="000E630D">
              <w:rPr>
                <w:rFonts w:ascii="Verdana" w:hAnsi="Verdana" w:cs="Arial"/>
                <w:sz w:val="20"/>
                <w:szCs w:val="20"/>
              </w:rPr>
              <w:t xml:space="preserve"> large portion of the authority area is Green Belt.  </w:t>
            </w:r>
            <w:r w:rsidR="007920C1">
              <w:rPr>
                <w:rFonts w:ascii="Verdana" w:hAnsi="Verdana" w:cs="Arial"/>
                <w:sz w:val="20"/>
                <w:szCs w:val="20"/>
              </w:rPr>
              <w:t>Housing schemes</w:t>
            </w:r>
            <w:r w:rsidR="000E630D">
              <w:rPr>
                <w:rFonts w:ascii="Verdana" w:hAnsi="Verdana" w:cs="Arial"/>
                <w:sz w:val="20"/>
                <w:szCs w:val="20"/>
              </w:rPr>
              <w:t xml:space="preserve"> have been restricted to windfall schemes within settlement boundaries due to </w:t>
            </w:r>
            <w:r w:rsidR="007537D3">
              <w:rPr>
                <w:rFonts w:ascii="Verdana" w:hAnsi="Verdana" w:cs="Arial"/>
                <w:sz w:val="20"/>
                <w:szCs w:val="20"/>
              </w:rPr>
              <w:t xml:space="preserve">the </w:t>
            </w:r>
            <w:r w:rsidR="000E630D">
              <w:rPr>
                <w:rFonts w:ascii="Verdana" w:hAnsi="Verdana" w:cs="Arial"/>
                <w:sz w:val="20"/>
                <w:szCs w:val="20"/>
              </w:rPr>
              <w:t xml:space="preserve">restrictive </w:t>
            </w:r>
            <w:r>
              <w:rPr>
                <w:rFonts w:ascii="Verdana" w:hAnsi="Verdana" w:cs="Arial"/>
                <w:sz w:val="20"/>
                <w:szCs w:val="20"/>
              </w:rPr>
              <w:t xml:space="preserve">Green Belt </w:t>
            </w:r>
            <w:r w:rsidR="000E630D">
              <w:rPr>
                <w:rFonts w:ascii="Verdana" w:hAnsi="Verdana" w:cs="Arial"/>
                <w:sz w:val="20"/>
                <w:szCs w:val="20"/>
              </w:rPr>
              <w:t>policies that are in place</w:t>
            </w:r>
            <w:r>
              <w:rPr>
                <w:rFonts w:ascii="Verdana" w:hAnsi="Verdana" w:cs="Arial"/>
                <w:sz w:val="20"/>
                <w:szCs w:val="20"/>
              </w:rPr>
              <w:t>.</w:t>
            </w:r>
            <w:r w:rsidR="007920C1">
              <w:rPr>
                <w:rFonts w:ascii="Verdana" w:hAnsi="Verdana" w:cs="Arial"/>
                <w:sz w:val="20"/>
                <w:szCs w:val="20"/>
              </w:rPr>
              <w:t xml:space="preserve"> </w:t>
            </w:r>
            <w:r>
              <w:rPr>
                <w:rFonts w:ascii="Verdana" w:hAnsi="Verdana" w:cs="Arial"/>
                <w:sz w:val="20"/>
                <w:szCs w:val="20"/>
              </w:rPr>
              <w:t>Consequently, using a constrained figure as a proxy is flawed.  Instead</w:t>
            </w:r>
            <w:r w:rsidR="00601EB8">
              <w:rPr>
                <w:rFonts w:ascii="Verdana" w:hAnsi="Verdana" w:cs="Arial"/>
                <w:sz w:val="20"/>
                <w:szCs w:val="20"/>
              </w:rPr>
              <w:t>,</w:t>
            </w:r>
            <w:r>
              <w:rPr>
                <w:rFonts w:ascii="Verdana" w:hAnsi="Verdana" w:cs="Arial"/>
                <w:sz w:val="20"/>
                <w:szCs w:val="20"/>
              </w:rPr>
              <w:t xml:space="preserve"> the Standard Method Figure should be rolled out across the plan period.</w:t>
            </w:r>
          </w:p>
          <w:p w14:paraId="776D1488" w14:textId="2EB9A323" w:rsidR="007920C1" w:rsidRDefault="007920C1" w:rsidP="00644675">
            <w:pPr>
              <w:rPr>
                <w:rFonts w:ascii="Verdana" w:hAnsi="Verdana" w:cs="Arial"/>
                <w:sz w:val="20"/>
                <w:szCs w:val="20"/>
              </w:rPr>
            </w:pPr>
          </w:p>
          <w:p w14:paraId="6B29B59D" w14:textId="6E3EAA15" w:rsidR="007537D3" w:rsidRDefault="007920C1" w:rsidP="00644675">
            <w:pPr>
              <w:rPr>
                <w:rFonts w:ascii="Verdana" w:hAnsi="Verdana" w:cs="Arial"/>
                <w:sz w:val="20"/>
                <w:szCs w:val="20"/>
              </w:rPr>
            </w:pPr>
            <w:r>
              <w:rPr>
                <w:rFonts w:ascii="Verdana" w:hAnsi="Verdana" w:cs="Arial"/>
                <w:sz w:val="20"/>
                <w:szCs w:val="20"/>
              </w:rPr>
              <w:t xml:space="preserve">As </w:t>
            </w:r>
            <w:proofErr w:type="gramStart"/>
            <w:r w:rsidR="00601EB8">
              <w:rPr>
                <w:rFonts w:ascii="Verdana" w:hAnsi="Verdana" w:cs="Arial"/>
                <w:sz w:val="20"/>
                <w:szCs w:val="20"/>
              </w:rPr>
              <w:t>it</w:t>
            </w:r>
            <w:proofErr w:type="gramEnd"/>
            <w:r w:rsidR="00601EB8">
              <w:rPr>
                <w:rFonts w:ascii="Verdana" w:hAnsi="Verdana" w:cs="Arial"/>
                <w:sz w:val="20"/>
                <w:szCs w:val="20"/>
              </w:rPr>
              <w:t xml:space="preserve"> standards the emerging plan presents a housing requirement that is 233 dwellings </w:t>
            </w:r>
            <w:r>
              <w:rPr>
                <w:rFonts w:ascii="Verdana" w:hAnsi="Verdana" w:cs="Arial"/>
                <w:sz w:val="20"/>
                <w:szCs w:val="20"/>
              </w:rPr>
              <w:t>less than the Standard Method housing target for the Plan period</w:t>
            </w:r>
            <w:r w:rsidR="00706F4C">
              <w:rPr>
                <w:rFonts w:ascii="Verdana" w:hAnsi="Verdana" w:cs="Arial"/>
                <w:sz w:val="20"/>
                <w:szCs w:val="20"/>
              </w:rPr>
              <w:t xml:space="preserve"> (233 dwellings</w:t>
            </w:r>
            <w:r w:rsidR="007537D3">
              <w:rPr>
                <w:rFonts w:ascii="Verdana" w:hAnsi="Verdana" w:cs="Arial"/>
                <w:sz w:val="20"/>
                <w:szCs w:val="20"/>
              </w:rPr>
              <w:t xml:space="preserve"> less</w:t>
            </w:r>
            <w:r w:rsidR="00706F4C">
              <w:rPr>
                <w:rFonts w:ascii="Verdana" w:hAnsi="Verdana" w:cs="Arial"/>
                <w:sz w:val="20"/>
                <w:szCs w:val="20"/>
              </w:rPr>
              <w:t>)</w:t>
            </w:r>
            <w:r>
              <w:rPr>
                <w:rFonts w:ascii="Verdana" w:hAnsi="Verdana" w:cs="Arial"/>
                <w:sz w:val="20"/>
                <w:szCs w:val="20"/>
              </w:rPr>
              <w:t>. This conflicts with the provision of the Framework</w:t>
            </w:r>
            <w:r w:rsidR="00601EB8">
              <w:rPr>
                <w:rFonts w:ascii="Verdana" w:hAnsi="Verdana" w:cs="Arial"/>
                <w:sz w:val="20"/>
                <w:szCs w:val="20"/>
              </w:rPr>
              <w:t xml:space="preserve"> and the housing requirement should be increased accordingly</w:t>
            </w:r>
            <w:r>
              <w:rPr>
                <w:rFonts w:ascii="Verdana" w:hAnsi="Verdana" w:cs="Arial"/>
                <w:sz w:val="20"/>
                <w:szCs w:val="20"/>
              </w:rPr>
              <w:t xml:space="preserve">. </w:t>
            </w:r>
            <w:r w:rsidR="007537D3">
              <w:rPr>
                <w:rFonts w:ascii="Verdana" w:hAnsi="Verdana" w:cs="Arial"/>
                <w:sz w:val="20"/>
                <w:szCs w:val="20"/>
              </w:rPr>
              <w:t xml:space="preserve"> </w:t>
            </w:r>
          </w:p>
          <w:p w14:paraId="5AAB9604" w14:textId="77777777" w:rsidR="007537D3" w:rsidRDefault="007537D3" w:rsidP="00644675">
            <w:pPr>
              <w:rPr>
                <w:rFonts w:ascii="Verdana" w:hAnsi="Verdana" w:cs="Arial"/>
                <w:sz w:val="20"/>
                <w:szCs w:val="20"/>
              </w:rPr>
            </w:pPr>
          </w:p>
          <w:p w14:paraId="22B447C3" w14:textId="72880C55" w:rsidR="007920C1" w:rsidRDefault="007537D3" w:rsidP="00644675">
            <w:pPr>
              <w:rPr>
                <w:rFonts w:ascii="Verdana" w:hAnsi="Verdana" w:cs="Arial"/>
                <w:sz w:val="20"/>
                <w:szCs w:val="20"/>
              </w:rPr>
            </w:pPr>
            <w:r>
              <w:rPr>
                <w:rFonts w:ascii="Verdana" w:hAnsi="Verdana" w:cs="Arial"/>
                <w:sz w:val="20"/>
                <w:szCs w:val="20"/>
              </w:rPr>
              <w:t xml:space="preserve">Furthermore, we have identified in our other submissions that the plan period should be extended by </w:t>
            </w:r>
            <w:r w:rsidR="00601EB8">
              <w:rPr>
                <w:rFonts w:ascii="Verdana" w:hAnsi="Verdana" w:cs="Arial"/>
                <w:sz w:val="20"/>
                <w:szCs w:val="20"/>
              </w:rPr>
              <w:t xml:space="preserve">at least </w:t>
            </w:r>
            <w:r>
              <w:rPr>
                <w:rFonts w:ascii="Verdana" w:hAnsi="Verdana" w:cs="Arial"/>
                <w:sz w:val="20"/>
                <w:szCs w:val="20"/>
              </w:rPr>
              <w:t xml:space="preserve">2 years to ensure that the plan covers 15 years from the date of adoption.  This would add a further 507 dwellings to the housing target, and means the plan is current planning for 740 dwellings less than it should be. </w:t>
            </w:r>
          </w:p>
          <w:p w14:paraId="1D57605E" w14:textId="34972EBB" w:rsidR="000E630D" w:rsidRDefault="000E630D" w:rsidP="00644675">
            <w:pPr>
              <w:rPr>
                <w:rFonts w:ascii="Verdana" w:hAnsi="Verdana" w:cs="Arial"/>
                <w:sz w:val="20"/>
                <w:szCs w:val="20"/>
              </w:rPr>
            </w:pPr>
          </w:p>
          <w:p w14:paraId="26E88FDB" w14:textId="18D5AA83" w:rsidR="00601EB8" w:rsidRPr="00601EB8" w:rsidRDefault="00601EB8" w:rsidP="00644675">
            <w:pPr>
              <w:rPr>
                <w:rFonts w:ascii="Verdana" w:hAnsi="Verdana" w:cs="Arial"/>
                <w:i/>
                <w:iCs/>
                <w:sz w:val="20"/>
                <w:szCs w:val="20"/>
              </w:rPr>
            </w:pPr>
            <w:r>
              <w:rPr>
                <w:rFonts w:ascii="Verdana" w:hAnsi="Verdana" w:cs="Arial"/>
                <w:i/>
                <w:iCs/>
                <w:sz w:val="20"/>
                <w:szCs w:val="20"/>
              </w:rPr>
              <w:t>Affordable Housing Adjustment</w:t>
            </w:r>
          </w:p>
          <w:p w14:paraId="2E04A5F9" w14:textId="77777777" w:rsidR="00601EB8" w:rsidRDefault="00601EB8" w:rsidP="00644675">
            <w:pPr>
              <w:rPr>
                <w:rFonts w:ascii="Verdana" w:hAnsi="Verdana" w:cs="Arial"/>
                <w:sz w:val="20"/>
                <w:szCs w:val="20"/>
              </w:rPr>
            </w:pPr>
          </w:p>
          <w:p w14:paraId="1AF93C3D" w14:textId="4A5325E2" w:rsidR="000E630D" w:rsidRDefault="007537D3" w:rsidP="00644675">
            <w:pPr>
              <w:rPr>
                <w:rFonts w:ascii="Verdana" w:hAnsi="Verdana" w:cs="Arial"/>
                <w:sz w:val="20"/>
                <w:szCs w:val="20"/>
              </w:rPr>
            </w:pPr>
            <w:r>
              <w:rPr>
                <w:rFonts w:ascii="Verdana" w:hAnsi="Verdana" w:cs="Arial"/>
                <w:sz w:val="20"/>
                <w:szCs w:val="20"/>
              </w:rPr>
              <w:t xml:space="preserve">It is also our view that </w:t>
            </w:r>
            <w:r w:rsidR="000E630D">
              <w:rPr>
                <w:rFonts w:ascii="Verdana" w:hAnsi="Verdana" w:cs="Arial"/>
                <w:sz w:val="20"/>
                <w:szCs w:val="20"/>
              </w:rPr>
              <w:t xml:space="preserve">there is a requirement for a significant uplift to the Standard Method housing requirement </w:t>
            </w:r>
            <w:r w:rsidR="00601EB8">
              <w:rPr>
                <w:rFonts w:ascii="Verdana" w:hAnsi="Verdana" w:cs="Arial"/>
                <w:sz w:val="20"/>
                <w:szCs w:val="20"/>
              </w:rPr>
              <w:t>above the Standard Method figure in any event</w:t>
            </w:r>
            <w:r w:rsidR="000E630D">
              <w:rPr>
                <w:rFonts w:ascii="Verdana" w:hAnsi="Verdana" w:cs="Arial"/>
                <w:sz w:val="20"/>
                <w:szCs w:val="20"/>
              </w:rPr>
              <w:t xml:space="preserve">.  This is </w:t>
            </w:r>
            <w:r w:rsidR="00601EB8">
              <w:rPr>
                <w:rFonts w:ascii="Verdana" w:hAnsi="Verdana" w:cs="Arial"/>
                <w:sz w:val="20"/>
                <w:szCs w:val="20"/>
              </w:rPr>
              <w:t>evidenced</w:t>
            </w:r>
            <w:r w:rsidR="000E630D">
              <w:rPr>
                <w:rFonts w:ascii="Verdana" w:hAnsi="Verdana" w:cs="Arial"/>
                <w:sz w:val="20"/>
                <w:szCs w:val="20"/>
              </w:rPr>
              <w:t xml:space="preserve"> by the </w:t>
            </w:r>
            <w:r w:rsidR="0056525A">
              <w:rPr>
                <w:rFonts w:ascii="Verdana" w:hAnsi="Verdana" w:cs="Arial"/>
                <w:sz w:val="20"/>
                <w:szCs w:val="20"/>
              </w:rPr>
              <w:t>SSHMA</w:t>
            </w:r>
            <w:r w:rsidR="000E630D">
              <w:rPr>
                <w:rFonts w:ascii="Verdana" w:hAnsi="Verdana" w:cs="Arial"/>
                <w:sz w:val="20"/>
                <w:szCs w:val="20"/>
              </w:rPr>
              <w:t>.</w:t>
            </w:r>
          </w:p>
          <w:p w14:paraId="239EAD7D" w14:textId="19726B1B" w:rsidR="000E630D" w:rsidRDefault="000E630D" w:rsidP="00644675">
            <w:pPr>
              <w:rPr>
                <w:rFonts w:ascii="Verdana" w:hAnsi="Verdana" w:cs="Arial"/>
                <w:sz w:val="20"/>
                <w:szCs w:val="20"/>
              </w:rPr>
            </w:pPr>
          </w:p>
          <w:p w14:paraId="5583A45A" w14:textId="1D4FFE4C" w:rsidR="000E630D" w:rsidRDefault="000E630D" w:rsidP="00644675">
            <w:pPr>
              <w:rPr>
                <w:rFonts w:ascii="Verdana" w:hAnsi="Verdana" w:cs="Arial"/>
                <w:sz w:val="20"/>
                <w:szCs w:val="20"/>
              </w:rPr>
            </w:pPr>
            <w:r>
              <w:rPr>
                <w:rFonts w:ascii="Verdana" w:hAnsi="Verdana" w:cs="Arial"/>
                <w:sz w:val="20"/>
                <w:szCs w:val="20"/>
              </w:rPr>
              <w:t xml:space="preserve">Paragraph 8.5 of the </w:t>
            </w:r>
            <w:r w:rsidR="0056525A">
              <w:rPr>
                <w:rFonts w:ascii="Verdana" w:hAnsi="Verdana" w:cs="Arial"/>
                <w:sz w:val="20"/>
                <w:szCs w:val="20"/>
              </w:rPr>
              <w:t>SSHMA</w:t>
            </w:r>
            <w:r>
              <w:rPr>
                <w:rFonts w:ascii="Verdana" w:hAnsi="Verdana" w:cs="Arial"/>
                <w:sz w:val="20"/>
                <w:szCs w:val="20"/>
              </w:rPr>
              <w:t xml:space="preserve"> </w:t>
            </w:r>
            <w:proofErr w:type="spellStart"/>
            <w:r w:rsidR="00601EB8">
              <w:rPr>
                <w:rFonts w:ascii="Verdana" w:hAnsi="Verdana" w:cs="Arial"/>
                <w:sz w:val="20"/>
                <w:szCs w:val="20"/>
              </w:rPr>
              <w:t>confirns</w:t>
            </w:r>
            <w:proofErr w:type="spellEnd"/>
            <w:r w:rsidR="00601EB8">
              <w:rPr>
                <w:rFonts w:ascii="Verdana" w:hAnsi="Verdana" w:cs="Arial"/>
                <w:sz w:val="20"/>
                <w:szCs w:val="20"/>
              </w:rPr>
              <w:t xml:space="preserve"> </w:t>
            </w:r>
            <w:r>
              <w:rPr>
                <w:rFonts w:ascii="Verdana" w:hAnsi="Verdana" w:cs="Arial"/>
                <w:sz w:val="20"/>
                <w:szCs w:val="20"/>
              </w:rPr>
              <w:t xml:space="preserve">that the PPG advise that it is necessary for local authorities to calculate their total affordable housing need.  The total affordable housing need can then be considered in the context of a proportion of the </w:t>
            </w:r>
            <w:r w:rsidR="00961E14">
              <w:rPr>
                <w:rFonts w:ascii="Verdana" w:hAnsi="Verdana" w:cs="Arial"/>
                <w:sz w:val="20"/>
                <w:szCs w:val="20"/>
              </w:rPr>
              <w:t xml:space="preserve">overall </w:t>
            </w:r>
            <w:r>
              <w:rPr>
                <w:rFonts w:ascii="Verdana" w:hAnsi="Verdana" w:cs="Arial"/>
                <w:sz w:val="20"/>
                <w:szCs w:val="20"/>
              </w:rPr>
              <w:t xml:space="preserve">housing requirement, </w:t>
            </w:r>
            <w:proofErr w:type="gramStart"/>
            <w:r>
              <w:rPr>
                <w:rFonts w:ascii="Verdana" w:hAnsi="Verdana" w:cs="Arial"/>
                <w:sz w:val="20"/>
                <w:szCs w:val="20"/>
              </w:rPr>
              <w:t>taking into account</w:t>
            </w:r>
            <w:proofErr w:type="gramEnd"/>
            <w:r>
              <w:rPr>
                <w:rFonts w:ascii="Verdana" w:hAnsi="Verdana" w:cs="Arial"/>
                <w:sz w:val="20"/>
                <w:szCs w:val="20"/>
              </w:rPr>
              <w:t xml:space="preserve"> the probable percentage of affordable housing </w:t>
            </w:r>
            <w:r w:rsidR="00961E14">
              <w:rPr>
                <w:rFonts w:ascii="Verdana" w:hAnsi="Verdana" w:cs="Arial"/>
                <w:sz w:val="20"/>
                <w:szCs w:val="20"/>
              </w:rPr>
              <w:t>that can be</w:t>
            </w:r>
            <w:r>
              <w:rPr>
                <w:rFonts w:ascii="Verdana" w:hAnsi="Verdana" w:cs="Arial"/>
                <w:sz w:val="20"/>
                <w:szCs w:val="20"/>
              </w:rPr>
              <w:t xml:space="preserve"> delivered by eligible market housing developments.  An increase to the overall housing figure included in the plan may be appropriate where it would help to deliver the required number of affordable ho</w:t>
            </w:r>
            <w:r w:rsidRPr="00961E14">
              <w:rPr>
                <w:rFonts w:ascii="Verdana" w:hAnsi="Verdana" w:cs="Arial"/>
                <w:sz w:val="20"/>
                <w:szCs w:val="20"/>
              </w:rPr>
              <w:t>mes</w:t>
            </w:r>
            <w:r w:rsidR="00961E14" w:rsidRPr="00961E14">
              <w:rPr>
                <w:rFonts w:ascii="Verdana" w:hAnsi="Verdana" w:cs="Arial"/>
                <w:sz w:val="20"/>
                <w:szCs w:val="20"/>
              </w:rPr>
              <w:t xml:space="preserve"> (PPG - ID: 2a-024-20190220)</w:t>
            </w:r>
            <w:r w:rsidRPr="00961E14">
              <w:rPr>
                <w:rFonts w:ascii="Verdana" w:hAnsi="Verdana" w:cs="Arial"/>
                <w:sz w:val="20"/>
                <w:szCs w:val="20"/>
              </w:rPr>
              <w:t>.</w:t>
            </w:r>
          </w:p>
          <w:p w14:paraId="40125F88" w14:textId="7764EBFA" w:rsidR="00A058CF" w:rsidRDefault="00A058CF" w:rsidP="00644675">
            <w:pPr>
              <w:rPr>
                <w:rFonts w:ascii="Verdana" w:hAnsi="Verdana" w:cs="Arial"/>
                <w:sz w:val="20"/>
                <w:szCs w:val="20"/>
              </w:rPr>
            </w:pPr>
          </w:p>
          <w:p w14:paraId="75BDE036" w14:textId="18D31F47" w:rsidR="00852CB9" w:rsidRDefault="00852CB9" w:rsidP="00644675">
            <w:pPr>
              <w:rPr>
                <w:rFonts w:ascii="Verdana" w:hAnsi="Verdana" w:cs="Arial"/>
                <w:sz w:val="20"/>
                <w:szCs w:val="20"/>
              </w:rPr>
            </w:pPr>
            <w:r>
              <w:rPr>
                <w:rFonts w:ascii="Verdana" w:hAnsi="Verdana" w:cs="Arial"/>
                <w:sz w:val="20"/>
                <w:szCs w:val="20"/>
              </w:rPr>
              <w:t xml:space="preserve">Paragraph 8.7 of the </w:t>
            </w:r>
            <w:r w:rsidR="0056525A">
              <w:rPr>
                <w:rFonts w:ascii="Verdana" w:hAnsi="Verdana" w:cs="Arial"/>
                <w:sz w:val="20"/>
                <w:szCs w:val="20"/>
              </w:rPr>
              <w:t>SSHMA</w:t>
            </w:r>
            <w:r>
              <w:rPr>
                <w:rFonts w:ascii="Verdana" w:hAnsi="Verdana" w:cs="Arial"/>
                <w:sz w:val="20"/>
                <w:szCs w:val="20"/>
              </w:rPr>
              <w:t xml:space="preserve"> advises that the total affordable housing needs in South Staffordshire is 128dpa.  It then goes on to advise that this represents 28.2% of the annual highest housing requirement of 453 dwellings per annum</w:t>
            </w:r>
            <w:r w:rsidR="00601EB8">
              <w:rPr>
                <w:rFonts w:ascii="Verdana" w:hAnsi="Verdana" w:cs="Arial"/>
                <w:sz w:val="20"/>
                <w:szCs w:val="20"/>
              </w:rPr>
              <w:t xml:space="preserve"> (this being the South Staffordshire requirement, plus the proposed 4,000 dwellings to meet the needs of the overspill</w:t>
            </w:r>
            <w:r>
              <w:rPr>
                <w:rFonts w:ascii="Verdana" w:hAnsi="Verdana" w:cs="Arial"/>
                <w:sz w:val="20"/>
                <w:szCs w:val="20"/>
              </w:rPr>
              <w:t xml:space="preserve">.  That being the case, the </w:t>
            </w:r>
            <w:r w:rsidR="0056525A">
              <w:rPr>
                <w:rFonts w:ascii="Verdana" w:hAnsi="Verdana" w:cs="Arial"/>
                <w:sz w:val="20"/>
                <w:szCs w:val="20"/>
              </w:rPr>
              <w:t>SSHMA</w:t>
            </w:r>
            <w:r>
              <w:rPr>
                <w:rFonts w:ascii="Verdana" w:hAnsi="Verdana" w:cs="Arial"/>
                <w:sz w:val="20"/>
                <w:szCs w:val="20"/>
              </w:rPr>
              <w:t xml:space="preserve"> proposes 30% </w:t>
            </w:r>
            <w:r w:rsidR="0056525A">
              <w:rPr>
                <w:rFonts w:ascii="Verdana" w:hAnsi="Verdana" w:cs="Arial"/>
                <w:sz w:val="20"/>
                <w:szCs w:val="20"/>
              </w:rPr>
              <w:t xml:space="preserve">of </w:t>
            </w:r>
            <w:r>
              <w:rPr>
                <w:rFonts w:ascii="Verdana" w:hAnsi="Verdana" w:cs="Arial"/>
                <w:sz w:val="20"/>
                <w:szCs w:val="20"/>
              </w:rPr>
              <w:t>housing provision.  This approach is flawed.</w:t>
            </w:r>
          </w:p>
          <w:p w14:paraId="0D0923CD" w14:textId="32AF3768" w:rsidR="00852CB9" w:rsidRDefault="00852CB9" w:rsidP="00644675">
            <w:pPr>
              <w:rPr>
                <w:rFonts w:ascii="Verdana" w:hAnsi="Verdana" w:cs="Arial"/>
                <w:sz w:val="20"/>
                <w:szCs w:val="20"/>
              </w:rPr>
            </w:pPr>
          </w:p>
          <w:p w14:paraId="06ED52A6" w14:textId="724343C6" w:rsidR="00852CB9" w:rsidRDefault="00961E14" w:rsidP="00644675">
            <w:pPr>
              <w:rPr>
                <w:rFonts w:ascii="Verdana" w:hAnsi="Verdana" w:cs="Arial"/>
                <w:sz w:val="20"/>
                <w:szCs w:val="20"/>
              </w:rPr>
            </w:pPr>
            <w:r>
              <w:rPr>
                <w:rFonts w:ascii="Verdana" w:hAnsi="Verdana" w:cs="Arial"/>
                <w:sz w:val="20"/>
                <w:szCs w:val="20"/>
              </w:rPr>
              <w:t xml:space="preserve">The </w:t>
            </w:r>
            <w:r w:rsidR="00852CB9">
              <w:rPr>
                <w:rFonts w:ascii="Verdana" w:hAnsi="Verdana" w:cs="Arial"/>
                <w:sz w:val="20"/>
                <w:szCs w:val="20"/>
              </w:rPr>
              <w:t xml:space="preserve">South Staffordshire Standard Method housing requirement is 254dpa according to the </w:t>
            </w:r>
            <w:r w:rsidR="0056525A">
              <w:rPr>
                <w:rFonts w:ascii="Verdana" w:hAnsi="Verdana" w:cs="Arial"/>
                <w:sz w:val="20"/>
                <w:szCs w:val="20"/>
              </w:rPr>
              <w:t>SSHMA</w:t>
            </w:r>
            <w:r w:rsidR="00852CB9">
              <w:rPr>
                <w:rFonts w:ascii="Verdana" w:hAnsi="Verdana" w:cs="Arial"/>
                <w:sz w:val="20"/>
                <w:szCs w:val="20"/>
              </w:rPr>
              <w:t xml:space="preserve">.  </w:t>
            </w:r>
            <w:proofErr w:type="gramStart"/>
            <w:r w:rsidR="00852CB9">
              <w:rPr>
                <w:rFonts w:ascii="Verdana" w:hAnsi="Verdana" w:cs="Arial"/>
                <w:sz w:val="20"/>
                <w:szCs w:val="20"/>
              </w:rPr>
              <w:t>As a consequence</w:t>
            </w:r>
            <w:proofErr w:type="gramEnd"/>
            <w:r w:rsidR="00852CB9">
              <w:rPr>
                <w:rFonts w:ascii="Verdana" w:hAnsi="Verdana" w:cs="Arial"/>
                <w:sz w:val="20"/>
                <w:szCs w:val="20"/>
              </w:rPr>
              <w:t xml:space="preserve">, an affordable housing requirement of 128dpa is </w:t>
            </w:r>
            <w:r w:rsidR="00852CB9">
              <w:rPr>
                <w:rFonts w:ascii="Verdana" w:hAnsi="Verdana" w:cs="Arial"/>
                <w:sz w:val="20"/>
                <w:szCs w:val="20"/>
              </w:rPr>
              <w:lastRenderedPageBreak/>
              <w:t xml:space="preserve">approximately </w:t>
            </w:r>
            <w:r w:rsidR="00852CB9" w:rsidRPr="00961E14">
              <w:rPr>
                <w:rFonts w:ascii="Verdana" w:hAnsi="Verdana" w:cs="Arial"/>
                <w:b/>
                <w:bCs/>
                <w:sz w:val="20"/>
                <w:szCs w:val="20"/>
              </w:rPr>
              <w:t>50%</w:t>
            </w:r>
            <w:r w:rsidR="00852CB9">
              <w:rPr>
                <w:rFonts w:ascii="Verdana" w:hAnsi="Verdana" w:cs="Arial"/>
                <w:sz w:val="20"/>
                <w:szCs w:val="20"/>
              </w:rPr>
              <w:t xml:space="preserve"> of South Staffordshire’s minimum Standard Method housing requirement.  </w:t>
            </w:r>
            <w:r w:rsidR="00601EB8">
              <w:rPr>
                <w:rFonts w:ascii="Verdana" w:hAnsi="Verdana" w:cs="Arial"/>
                <w:sz w:val="20"/>
                <w:szCs w:val="20"/>
              </w:rPr>
              <w:t>By contrast, t</w:t>
            </w:r>
            <w:r w:rsidR="00852CB9">
              <w:rPr>
                <w:rFonts w:ascii="Verdana" w:hAnsi="Verdana" w:cs="Arial"/>
                <w:sz w:val="20"/>
                <w:szCs w:val="20"/>
              </w:rPr>
              <w:t xml:space="preserve">he figure in </w:t>
            </w:r>
            <w:r w:rsidR="00601EB8">
              <w:rPr>
                <w:rFonts w:ascii="Verdana" w:hAnsi="Verdana" w:cs="Arial"/>
                <w:sz w:val="20"/>
                <w:szCs w:val="20"/>
              </w:rPr>
              <w:t>P</w:t>
            </w:r>
            <w:r w:rsidR="00852CB9">
              <w:rPr>
                <w:rFonts w:ascii="Verdana" w:hAnsi="Verdana" w:cs="Arial"/>
                <w:sz w:val="20"/>
                <w:szCs w:val="20"/>
              </w:rPr>
              <w:t xml:space="preserve">aragraph 8.7 of the </w:t>
            </w:r>
            <w:r w:rsidR="0056525A">
              <w:rPr>
                <w:rFonts w:ascii="Verdana" w:hAnsi="Verdana" w:cs="Arial"/>
                <w:sz w:val="20"/>
                <w:szCs w:val="20"/>
              </w:rPr>
              <w:t>SSHMA</w:t>
            </w:r>
            <w:r w:rsidR="00852CB9">
              <w:rPr>
                <w:rFonts w:ascii="Verdana" w:hAnsi="Verdana" w:cs="Arial"/>
                <w:sz w:val="20"/>
                <w:szCs w:val="20"/>
              </w:rPr>
              <w:t xml:space="preserve"> is skewed, as the total housing requirement proposed </w:t>
            </w:r>
            <w:r w:rsidR="00F55E6A">
              <w:rPr>
                <w:rFonts w:ascii="Verdana" w:hAnsi="Verdana" w:cs="Arial"/>
                <w:sz w:val="20"/>
                <w:szCs w:val="20"/>
              </w:rPr>
              <w:t xml:space="preserve">by the </w:t>
            </w:r>
            <w:r>
              <w:rPr>
                <w:rFonts w:ascii="Verdana" w:hAnsi="Verdana" w:cs="Arial"/>
                <w:sz w:val="20"/>
                <w:szCs w:val="20"/>
              </w:rPr>
              <w:t>P</w:t>
            </w:r>
            <w:r w:rsidR="00F55E6A">
              <w:rPr>
                <w:rFonts w:ascii="Verdana" w:hAnsi="Verdana" w:cs="Arial"/>
                <w:sz w:val="20"/>
                <w:szCs w:val="20"/>
              </w:rPr>
              <w:t>lan is used (9,068 dwellings)</w:t>
            </w:r>
            <w:r w:rsidR="007537D3">
              <w:rPr>
                <w:rFonts w:ascii="Verdana" w:hAnsi="Verdana" w:cs="Arial"/>
                <w:sz w:val="20"/>
                <w:szCs w:val="20"/>
              </w:rPr>
              <w:t>, which</w:t>
            </w:r>
            <w:r w:rsidR="00F55E6A">
              <w:rPr>
                <w:rFonts w:ascii="Verdana" w:hAnsi="Verdana" w:cs="Arial"/>
                <w:sz w:val="20"/>
                <w:szCs w:val="20"/>
              </w:rPr>
              <w:t xml:space="preserve"> </w:t>
            </w:r>
            <w:r w:rsidR="007537D3">
              <w:rPr>
                <w:rFonts w:ascii="Verdana" w:hAnsi="Verdana" w:cs="Arial"/>
                <w:sz w:val="20"/>
                <w:szCs w:val="20"/>
              </w:rPr>
              <w:t xml:space="preserve">includes </w:t>
            </w:r>
            <w:r w:rsidR="00F55E6A">
              <w:rPr>
                <w:rFonts w:ascii="Verdana" w:hAnsi="Verdana" w:cs="Arial"/>
                <w:sz w:val="20"/>
                <w:szCs w:val="20"/>
              </w:rPr>
              <w:t xml:space="preserve">the 4,000 dwellings the plan proposes to deliver to meet the growth requirements of the conurbation.  The 4,000 dwellings proposed to meet the growth requirements of the conurbation cannot be considered as </w:t>
            </w:r>
            <w:r>
              <w:rPr>
                <w:rFonts w:ascii="Verdana" w:hAnsi="Verdana" w:cs="Arial"/>
                <w:sz w:val="20"/>
                <w:szCs w:val="20"/>
              </w:rPr>
              <w:t>a</w:t>
            </w:r>
            <w:r w:rsidR="00F55E6A">
              <w:rPr>
                <w:rFonts w:ascii="Verdana" w:hAnsi="Verdana" w:cs="Arial"/>
                <w:sz w:val="20"/>
                <w:szCs w:val="20"/>
              </w:rPr>
              <w:t xml:space="preserve"> source of affordable housing supply to support the affordable housing delivery needs of South Staffordshire.  </w:t>
            </w:r>
            <w:r w:rsidR="00F55E6A" w:rsidRPr="00961E14">
              <w:rPr>
                <w:rFonts w:ascii="Verdana" w:hAnsi="Verdana" w:cs="Arial"/>
                <w:sz w:val="20"/>
                <w:szCs w:val="20"/>
                <w:u w:val="single"/>
              </w:rPr>
              <w:t>Any affordable housing provided as part of the delivery of these 4,000 units will be to support the affordable housing needs arising from the conurbation, not South Staffordshire.</w:t>
            </w:r>
          </w:p>
          <w:p w14:paraId="4922B7EF" w14:textId="53F71FBE" w:rsidR="00F55E6A" w:rsidRDefault="00F55E6A" w:rsidP="00644675">
            <w:pPr>
              <w:rPr>
                <w:rFonts w:ascii="Verdana" w:hAnsi="Verdana" w:cs="Arial"/>
                <w:sz w:val="20"/>
                <w:szCs w:val="20"/>
              </w:rPr>
            </w:pPr>
          </w:p>
          <w:p w14:paraId="4A89A6A5" w14:textId="7321C90E" w:rsidR="00F55E6A" w:rsidRDefault="00F55E6A" w:rsidP="00644675">
            <w:pPr>
              <w:rPr>
                <w:rFonts w:ascii="Verdana" w:hAnsi="Verdana" w:cs="Arial"/>
                <w:sz w:val="20"/>
                <w:szCs w:val="20"/>
              </w:rPr>
            </w:pPr>
            <w:r>
              <w:rPr>
                <w:rFonts w:ascii="Verdana" w:hAnsi="Verdana" w:cs="Arial"/>
                <w:sz w:val="20"/>
                <w:szCs w:val="20"/>
              </w:rPr>
              <w:t xml:space="preserve">In short, if </w:t>
            </w:r>
            <w:r w:rsidR="00961E14">
              <w:rPr>
                <w:rFonts w:ascii="Verdana" w:hAnsi="Verdana" w:cs="Arial"/>
                <w:sz w:val="20"/>
                <w:szCs w:val="20"/>
              </w:rPr>
              <w:t>3</w:t>
            </w:r>
            <w:r>
              <w:rPr>
                <w:rFonts w:ascii="Verdana" w:hAnsi="Verdana" w:cs="Arial"/>
                <w:sz w:val="20"/>
                <w:szCs w:val="20"/>
              </w:rPr>
              <w:t>0% of the 4,000 dwellings proposed to meet the growth requirements of the conurbation</w:t>
            </w:r>
            <w:r w:rsidR="00961E14">
              <w:rPr>
                <w:rFonts w:ascii="Verdana" w:hAnsi="Verdana" w:cs="Arial"/>
                <w:sz w:val="20"/>
                <w:szCs w:val="20"/>
              </w:rPr>
              <w:t xml:space="preserve"> were </w:t>
            </w:r>
            <w:r>
              <w:rPr>
                <w:rFonts w:ascii="Verdana" w:hAnsi="Verdana" w:cs="Arial"/>
                <w:sz w:val="20"/>
                <w:szCs w:val="20"/>
              </w:rPr>
              <w:t>deliver</w:t>
            </w:r>
            <w:r w:rsidR="00961E14">
              <w:rPr>
                <w:rFonts w:ascii="Verdana" w:hAnsi="Verdana" w:cs="Arial"/>
                <w:sz w:val="20"/>
                <w:szCs w:val="20"/>
              </w:rPr>
              <w:t>ed as</w:t>
            </w:r>
            <w:r>
              <w:rPr>
                <w:rFonts w:ascii="Verdana" w:hAnsi="Verdana" w:cs="Arial"/>
                <w:sz w:val="20"/>
                <w:szCs w:val="20"/>
              </w:rPr>
              <w:t xml:space="preserve"> affordable units to meet the growth requirements of South Staffordshire</w:t>
            </w:r>
            <w:r w:rsidR="00961E14">
              <w:rPr>
                <w:rFonts w:ascii="Verdana" w:hAnsi="Verdana" w:cs="Arial"/>
                <w:sz w:val="20"/>
                <w:szCs w:val="20"/>
              </w:rPr>
              <w:t>,</w:t>
            </w:r>
            <w:r>
              <w:rPr>
                <w:rFonts w:ascii="Verdana" w:hAnsi="Verdana" w:cs="Arial"/>
                <w:sz w:val="20"/>
                <w:szCs w:val="20"/>
              </w:rPr>
              <w:t xml:space="preserve"> this would reduce the </w:t>
            </w:r>
            <w:r w:rsidR="00961E14">
              <w:rPr>
                <w:rFonts w:ascii="Verdana" w:hAnsi="Verdana" w:cs="Arial"/>
                <w:sz w:val="20"/>
                <w:szCs w:val="20"/>
              </w:rPr>
              <w:t xml:space="preserve">Plan’s </w:t>
            </w:r>
            <w:r>
              <w:rPr>
                <w:rFonts w:ascii="Verdana" w:hAnsi="Verdana" w:cs="Arial"/>
                <w:sz w:val="20"/>
                <w:szCs w:val="20"/>
              </w:rPr>
              <w:t xml:space="preserve">contribution </w:t>
            </w:r>
            <w:r w:rsidR="00961E14">
              <w:rPr>
                <w:rFonts w:ascii="Verdana" w:hAnsi="Verdana" w:cs="Arial"/>
                <w:sz w:val="20"/>
                <w:szCs w:val="20"/>
              </w:rPr>
              <w:t>to meeting the growth requirements of</w:t>
            </w:r>
            <w:r>
              <w:rPr>
                <w:rFonts w:ascii="Verdana" w:hAnsi="Verdana" w:cs="Arial"/>
                <w:sz w:val="20"/>
                <w:szCs w:val="20"/>
              </w:rPr>
              <w:t xml:space="preserve"> the conurbation to 2,800 units.  This is significantly below the </w:t>
            </w:r>
            <w:proofErr w:type="gramStart"/>
            <w:r>
              <w:rPr>
                <w:rFonts w:ascii="Verdana" w:hAnsi="Verdana" w:cs="Arial"/>
                <w:sz w:val="20"/>
                <w:szCs w:val="20"/>
              </w:rPr>
              <w:t>4,000 unit</w:t>
            </w:r>
            <w:proofErr w:type="gramEnd"/>
            <w:r>
              <w:rPr>
                <w:rFonts w:ascii="Verdana" w:hAnsi="Verdana" w:cs="Arial"/>
                <w:sz w:val="20"/>
                <w:szCs w:val="20"/>
              </w:rPr>
              <w:t xml:space="preserve"> figure </w:t>
            </w:r>
            <w:r w:rsidR="00601EB8">
              <w:rPr>
                <w:rFonts w:ascii="Verdana" w:hAnsi="Verdana" w:cs="Arial"/>
                <w:sz w:val="20"/>
                <w:szCs w:val="20"/>
              </w:rPr>
              <w:t>proposed</w:t>
            </w:r>
            <w:r>
              <w:rPr>
                <w:rFonts w:ascii="Verdana" w:hAnsi="Verdana" w:cs="Arial"/>
                <w:sz w:val="20"/>
                <w:szCs w:val="20"/>
              </w:rPr>
              <w:t xml:space="preserve"> by the </w:t>
            </w:r>
            <w:r w:rsidR="00961E14">
              <w:rPr>
                <w:rFonts w:ascii="Verdana" w:hAnsi="Verdana" w:cs="Arial"/>
                <w:sz w:val="20"/>
                <w:szCs w:val="20"/>
              </w:rPr>
              <w:t>P</w:t>
            </w:r>
            <w:r>
              <w:rPr>
                <w:rFonts w:ascii="Verdana" w:hAnsi="Verdana" w:cs="Arial"/>
                <w:sz w:val="20"/>
                <w:szCs w:val="20"/>
              </w:rPr>
              <w:t>lan.</w:t>
            </w:r>
          </w:p>
          <w:p w14:paraId="5D067028" w14:textId="5B0983A6" w:rsidR="00F55E6A" w:rsidRDefault="00F55E6A" w:rsidP="00644675">
            <w:pPr>
              <w:rPr>
                <w:rFonts w:ascii="Verdana" w:hAnsi="Verdana" w:cs="Arial"/>
                <w:sz w:val="20"/>
                <w:szCs w:val="20"/>
              </w:rPr>
            </w:pPr>
          </w:p>
          <w:p w14:paraId="170C5E55" w14:textId="57FB186A" w:rsidR="00F55E6A" w:rsidRDefault="00F55E6A" w:rsidP="00644675">
            <w:pPr>
              <w:rPr>
                <w:rFonts w:ascii="Verdana" w:hAnsi="Verdana" w:cs="Arial"/>
                <w:sz w:val="20"/>
                <w:szCs w:val="20"/>
              </w:rPr>
            </w:pPr>
            <w:r>
              <w:rPr>
                <w:rFonts w:ascii="Verdana" w:hAnsi="Verdana" w:cs="Arial"/>
                <w:sz w:val="20"/>
                <w:szCs w:val="20"/>
              </w:rPr>
              <w:t>It is, therefore, clear that an uplift is required to the South Staffordshire housing requirement to ensure that 128 affordable dwellings per year are delivered.  The plan should include a housing requirement for South Staffordshire and state what proportion of the housing requirement should be affordable.  Separately, it should include a housing requirement for meeting the unmet needs of the conurbation and state what proportion of that requirement should be affordable.</w:t>
            </w:r>
            <w:r w:rsidR="00601EB8">
              <w:rPr>
                <w:rFonts w:ascii="Verdana" w:hAnsi="Verdana" w:cs="Arial"/>
                <w:sz w:val="20"/>
                <w:szCs w:val="20"/>
              </w:rPr>
              <w:t xml:space="preserve">  This will make the plan more </w:t>
            </w:r>
            <w:proofErr w:type="gramStart"/>
            <w:r w:rsidR="00601EB8">
              <w:rPr>
                <w:rFonts w:ascii="Verdana" w:hAnsi="Verdana" w:cs="Arial"/>
                <w:sz w:val="20"/>
                <w:szCs w:val="20"/>
              </w:rPr>
              <w:t>transparent</w:t>
            </w:r>
            <w:proofErr w:type="gramEnd"/>
            <w:r w:rsidR="00601EB8">
              <w:rPr>
                <w:rFonts w:ascii="Verdana" w:hAnsi="Verdana" w:cs="Arial"/>
                <w:sz w:val="20"/>
                <w:szCs w:val="20"/>
              </w:rPr>
              <w:t xml:space="preserve"> and it will be easy to monitor how much housing has been provided to meet the two different needs.</w:t>
            </w:r>
          </w:p>
          <w:p w14:paraId="56E47685" w14:textId="15A3A842" w:rsidR="00601EB8" w:rsidRDefault="00601EB8" w:rsidP="00644675">
            <w:pPr>
              <w:rPr>
                <w:rFonts w:ascii="Verdana" w:hAnsi="Verdana" w:cs="Arial"/>
                <w:sz w:val="20"/>
                <w:szCs w:val="20"/>
              </w:rPr>
            </w:pPr>
          </w:p>
          <w:p w14:paraId="427A9A95" w14:textId="1A6EE25D" w:rsidR="00601EB8" w:rsidRPr="00601EB8" w:rsidRDefault="00601EB8" w:rsidP="00644675">
            <w:pPr>
              <w:rPr>
                <w:rFonts w:ascii="Verdana" w:hAnsi="Verdana" w:cs="Arial"/>
                <w:i/>
                <w:iCs/>
                <w:sz w:val="20"/>
                <w:szCs w:val="20"/>
              </w:rPr>
            </w:pPr>
            <w:r>
              <w:rPr>
                <w:rFonts w:ascii="Verdana" w:hAnsi="Verdana" w:cs="Arial"/>
                <w:i/>
                <w:iCs/>
                <w:sz w:val="20"/>
                <w:szCs w:val="20"/>
              </w:rPr>
              <w:t>Economic Growth Adjustment</w:t>
            </w:r>
          </w:p>
          <w:p w14:paraId="1127E8E1" w14:textId="431DBB3B" w:rsidR="00F55E6A" w:rsidRDefault="00F55E6A" w:rsidP="00644675">
            <w:pPr>
              <w:rPr>
                <w:rFonts w:ascii="Verdana" w:hAnsi="Verdana" w:cs="Arial"/>
                <w:sz w:val="20"/>
                <w:szCs w:val="20"/>
              </w:rPr>
            </w:pPr>
          </w:p>
          <w:p w14:paraId="426D15F3" w14:textId="62232A33" w:rsidR="000E665C" w:rsidRDefault="00F55E6A" w:rsidP="00644675">
            <w:pPr>
              <w:rPr>
                <w:rFonts w:ascii="Verdana" w:hAnsi="Verdana" w:cs="Arial"/>
                <w:sz w:val="20"/>
                <w:szCs w:val="20"/>
              </w:rPr>
            </w:pPr>
            <w:r>
              <w:rPr>
                <w:rFonts w:ascii="Verdana" w:hAnsi="Verdana" w:cs="Arial"/>
                <w:sz w:val="20"/>
                <w:szCs w:val="20"/>
              </w:rPr>
              <w:t xml:space="preserve">The </w:t>
            </w:r>
            <w:r w:rsidR="00961E14">
              <w:rPr>
                <w:rFonts w:ascii="Verdana" w:hAnsi="Verdana" w:cs="Arial"/>
                <w:sz w:val="20"/>
                <w:szCs w:val="20"/>
              </w:rPr>
              <w:t>P</w:t>
            </w:r>
            <w:r>
              <w:rPr>
                <w:rFonts w:ascii="Verdana" w:hAnsi="Verdana" w:cs="Arial"/>
                <w:sz w:val="20"/>
                <w:szCs w:val="20"/>
              </w:rPr>
              <w:t xml:space="preserve">lan sets out its intentions to support </w:t>
            </w:r>
            <w:r w:rsidR="00A13BCD">
              <w:rPr>
                <w:rFonts w:ascii="Verdana" w:hAnsi="Verdana" w:cs="Arial"/>
                <w:sz w:val="20"/>
                <w:szCs w:val="20"/>
              </w:rPr>
              <w:t xml:space="preserve">economic growth, retaining and creating jobs within the district.  It is advised in Table 2 that there continues to be development opportunities </w:t>
            </w:r>
            <w:r w:rsidR="00C47FD8">
              <w:rPr>
                <w:rFonts w:ascii="Verdana" w:hAnsi="Verdana" w:cs="Arial"/>
                <w:sz w:val="20"/>
                <w:szCs w:val="20"/>
              </w:rPr>
              <w:t>at strategic employment sites, including I54, ROF Featherstone and the West Midlands Interchange leading to greater</w:t>
            </w:r>
            <w:r w:rsidR="000E665C">
              <w:rPr>
                <w:rFonts w:ascii="Verdana" w:hAnsi="Verdana" w:cs="Arial"/>
                <w:sz w:val="20"/>
                <w:szCs w:val="20"/>
              </w:rPr>
              <w:t xml:space="preserve"> investment and prosperity.</w:t>
            </w:r>
            <w:r w:rsidR="00961E14">
              <w:rPr>
                <w:rFonts w:ascii="Verdana" w:hAnsi="Verdana" w:cs="Arial"/>
                <w:sz w:val="20"/>
                <w:szCs w:val="20"/>
              </w:rPr>
              <w:t xml:space="preserve"> </w:t>
            </w:r>
            <w:r w:rsidR="000E665C">
              <w:rPr>
                <w:rFonts w:ascii="Verdana" w:hAnsi="Verdana" w:cs="Arial"/>
                <w:sz w:val="20"/>
                <w:szCs w:val="20"/>
              </w:rPr>
              <w:t>Paragraph 2.13 confirms that South Staffordshire has attracted internationally significant businesses such as Jaguar Land Rove</w:t>
            </w:r>
            <w:r w:rsidR="00601EB8">
              <w:rPr>
                <w:rFonts w:ascii="Verdana" w:hAnsi="Verdana" w:cs="Arial"/>
                <w:sz w:val="20"/>
                <w:szCs w:val="20"/>
              </w:rPr>
              <w:t xml:space="preserve">r and that the emerging </w:t>
            </w:r>
            <w:r w:rsidR="00961E14">
              <w:rPr>
                <w:rFonts w:ascii="Verdana" w:hAnsi="Verdana" w:cs="Arial"/>
                <w:sz w:val="20"/>
                <w:szCs w:val="20"/>
              </w:rPr>
              <w:t>P</w:t>
            </w:r>
            <w:r w:rsidR="000E665C">
              <w:rPr>
                <w:rFonts w:ascii="Verdana" w:hAnsi="Verdana" w:cs="Arial"/>
                <w:sz w:val="20"/>
                <w:szCs w:val="20"/>
              </w:rPr>
              <w:t>lan continues to support economic growth.</w:t>
            </w:r>
          </w:p>
          <w:p w14:paraId="6A0027A7" w14:textId="22FE2B47" w:rsidR="000E665C" w:rsidRDefault="000E665C" w:rsidP="00644675">
            <w:pPr>
              <w:rPr>
                <w:rFonts w:ascii="Verdana" w:hAnsi="Verdana" w:cs="Arial"/>
                <w:sz w:val="20"/>
                <w:szCs w:val="20"/>
              </w:rPr>
            </w:pPr>
          </w:p>
          <w:p w14:paraId="0BCF1511" w14:textId="6746920E" w:rsidR="000E665C" w:rsidRDefault="000E665C" w:rsidP="00644675">
            <w:pPr>
              <w:rPr>
                <w:rFonts w:ascii="Verdana" w:hAnsi="Verdana" w:cs="Arial"/>
                <w:sz w:val="20"/>
                <w:szCs w:val="20"/>
              </w:rPr>
            </w:pPr>
            <w:r>
              <w:rPr>
                <w:rFonts w:ascii="Verdana" w:hAnsi="Verdana" w:cs="Arial"/>
                <w:sz w:val="20"/>
                <w:szCs w:val="20"/>
              </w:rPr>
              <w:t xml:space="preserve">However, </w:t>
            </w:r>
            <w:r w:rsidR="00997B58">
              <w:rPr>
                <w:rFonts w:ascii="Verdana" w:hAnsi="Verdana" w:cs="Arial"/>
                <w:sz w:val="20"/>
                <w:szCs w:val="20"/>
              </w:rPr>
              <w:t xml:space="preserve">the emerging plan </w:t>
            </w:r>
            <w:r>
              <w:rPr>
                <w:rFonts w:ascii="Verdana" w:hAnsi="Verdana" w:cs="Arial"/>
                <w:sz w:val="20"/>
                <w:szCs w:val="20"/>
              </w:rPr>
              <w:t xml:space="preserve">also advised in Table 2 that there are “demographic imbalances” with a </w:t>
            </w:r>
            <w:proofErr w:type="gramStart"/>
            <w:r>
              <w:rPr>
                <w:rFonts w:ascii="Verdana" w:hAnsi="Verdana" w:cs="Arial"/>
                <w:sz w:val="20"/>
                <w:szCs w:val="20"/>
              </w:rPr>
              <w:t>higher than average</w:t>
            </w:r>
            <w:proofErr w:type="gramEnd"/>
            <w:r>
              <w:rPr>
                <w:rFonts w:ascii="Verdana" w:hAnsi="Verdana" w:cs="Arial"/>
                <w:sz w:val="20"/>
                <w:szCs w:val="20"/>
              </w:rPr>
              <w:t xml:space="preserve"> proportion of the residents aged 65 and over, </w:t>
            </w:r>
            <w:r w:rsidR="00997B58">
              <w:rPr>
                <w:rFonts w:ascii="Verdana" w:hAnsi="Verdana" w:cs="Arial"/>
                <w:sz w:val="20"/>
                <w:szCs w:val="20"/>
              </w:rPr>
              <w:t xml:space="preserve">combined </w:t>
            </w:r>
            <w:r>
              <w:rPr>
                <w:rFonts w:ascii="Verdana" w:hAnsi="Verdana" w:cs="Arial"/>
                <w:sz w:val="20"/>
                <w:szCs w:val="20"/>
              </w:rPr>
              <w:t>with a projected decline of families and working age residents.  If there is a decline of working age residents and the Council wishes to maintain the current number of jobs, or increase t</w:t>
            </w:r>
            <w:r w:rsidR="00961E14">
              <w:rPr>
                <w:rFonts w:ascii="Verdana" w:hAnsi="Verdana" w:cs="Arial"/>
                <w:sz w:val="20"/>
                <w:szCs w:val="20"/>
              </w:rPr>
              <w:t>hem</w:t>
            </w:r>
            <w:r>
              <w:rPr>
                <w:rFonts w:ascii="Verdana" w:hAnsi="Verdana" w:cs="Arial"/>
                <w:sz w:val="20"/>
                <w:szCs w:val="20"/>
              </w:rPr>
              <w:t>, there are two options.  There can be</w:t>
            </w:r>
            <w:r w:rsidR="00961E14">
              <w:rPr>
                <w:rFonts w:ascii="Verdana" w:hAnsi="Verdana" w:cs="Arial"/>
                <w:sz w:val="20"/>
                <w:szCs w:val="20"/>
              </w:rPr>
              <w:t xml:space="preserve"> an</w:t>
            </w:r>
            <w:r>
              <w:rPr>
                <w:rFonts w:ascii="Verdana" w:hAnsi="Verdana" w:cs="Arial"/>
                <w:sz w:val="20"/>
                <w:szCs w:val="20"/>
              </w:rPr>
              <w:t xml:space="preserve"> increase in the number of people commuting to South Staffordshire to work from the wider area.  This will result in increased road mileage and </w:t>
            </w:r>
            <w:r w:rsidR="00961E14">
              <w:rPr>
                <w:rFonts w:ascii="Verdana" w:hAnsi="Verdana" w:cs="Arial"/>
                <w:sz w:val="20"/>
                <w:szCs w:val="20"/>
              </w:rPr>
              <w:t>un</w:t>
            </w:r>
            <w:r>
              <w:rPr>
                <w:rFonts w:ascii="Verdana" w:hAnsi="Verdana" w:cs="Arial"/>
                <w:sz w:val="20"/>
                <w:szCs w:val="20"/>
              </w:rPr>
              <w:t xml:space="preserve">sustainable commuting patterns.  The alternative is for the plan to provide </w:t>
            </w:r>
            <w:r w:rsidR="00997B58">
              <w:rPr>
                <w:rFonts w:ascii="Verdana" w:hAnsi="Verdana" w:cs="Arial"/>
                <w:sz w:val="20"/>
                <w:szCs w:val="20"/>
              </w:rPr>
              <w:t>enough</w:t>
            </w:r>
            <w:r>
              <w:rPr>
                <w:rFonts w:ascii="Verdana" w:hAnsi="Verdana" w:cs="Arial"/>
                <w:sz w:val="20"/>
                <w:szCs w:val="20"/>
              </w:rPr>
              <w:t xml:space="preserve"> homes to </w:t>
            </w:r>
            <w:r w:rsidR="00961E14">
              <w:rPr>
                <w:rFonts w:ascii="Verdana" w:hAnsi="Verdana" w:cs="Arial"/>
                <w:sz w:val="20"/>
                <w:szCs w:val="20"/>
              </w:rPr>
              <w:t>allow for workers to move into South Staffordshire</w:t>
            </w:r>
            <w:r>
              <w:rPr>
                <w:rFonts w:ascii="Verdana" w:hAnsi="Verdana" w:cs="Arial"/>
                <w:sz w:val="20"/>
                <w:szCs w:val="20"/>
              </w:rPr>
              <w:t>.  There is no evidence of this being</w:t>
            </w:r>
            <w:r w:rsidR="00FD53BB">
              <w:rPr>
                <w:rFonts w:ascii="Verdana" w:hAnsi="Verdana" w:cs="Arial"/>
                <w:sz w:val="20"/>
                <w:szCs w:val="20"/>
              </w:rPr>
              <w:t xml:space="preserve"> properly</w:t>
            </w:r>
            <w:r>
              <w:rPr>
                <w:rFonts w:ascii="Verdana" w:hAnsi="Verdana" w:cs="Arial"/>
                <w:sz w:val="20"/>
                <w:szCs w:val="20"/>
              </w:rPr>
              <w:t xml:space="preserve"> considered anywhere within the </w:t>
            </w:r>
            <w:r w:rsidR="00997B58">
              <w:rPr>
                <w:rFonts w:ascii="Verdana" w:hAnsi="Verdana" w:cs="Arial"/>
                <w:sz w:val="20"/>
                <w:szCs w:val="20"/>
              </w:rPr>
              <w:t xml:space="preserve">emerging </w:t>
            </w:r>
            <w:r w:rsidR="00961E14">
              <w:rPr>
                <w:rFonts w:ascii="Verdana" w:hAnsi="Verdana" w:cs="Arial"/>
                <w:sz w:val="20"/>
                <w:szCs w:val="20"/>
              </w:rPr>
              <w:t>P</w:t>
            </w:r>
            <w:r>
              <w:rPr>
                <w:rFonts w:ascii="Verdana" w:hAnsi="Verdana" w:cs="Arial"/>
                <w:sz w:val="20"/>
                <w:szCs w:val="20"/>
              </w:rPr>
              <w:t>lan.</w:t>
            </w:r>
          </w:p>
          <w:p w14:paraId="44A0B12B" w14:textId="63B9A0ED" w:rsidR="000E665C" w:rsidRDefault="000E665C" w:rsidP="00644675">
            <w:pPr>
              <w:rPr>
                <w:rFonts w:ascii="Verdana" w:hAnsi="Verdana" w:cs="Arial"/>
                <w:sz w:val="20"/>
                <w:szCs w:val="20"/>
              </w:rPr>
            </w:pPr>
          </w:p>
          <w:p w14:paraId="635F89EC" w14:textId="75A6B6A6" w:rsidR="000E665C" w:rsidRDefault="000E665C" w:rsidP="00644675">
            <w:pPr>
              <w:rPr>
                <w:rFonts w:ascii="Verdana" w:hAnsi="Verdana" w:cs="Arial"/>
                <w:sz w:val="20"/>
                <w:szCs w:val="20"/>
              </w:rPr>
            </w:pPr>
            <w:r>
              <w:rPr>
                <w:rFonts w:ascii="Verdana" w:hAnsi="Verdana" w:cs="Arial"/>
                <w:sz w:val="20"/>
                <w:szCs w:val="20"/>
              </w:rPr>
              <w:t xml:space="preserve">Drawing this together, there are three matters that the </w:t>
            </w:r>
            <w:r w:rsidR="00961E14">
              <w:rPr>
                <w:rFonts w:ascii="Verdana" w:hAnsi="Verdana" w:cs="Arial"/>
                <w:sz w:val="20"/>
                <w:szCs w:val="20"/>
              </w:rPr>
              <w:t>P</w:t>
            </w:r>
            <w:r>
              <w:rPr>
                <w:rFonts w:ascii="Verdana" w:hAnsi="Verdana" w:cs="Arial"/>
                <w:sz w:val="20"/>
                <w:szCs w:val="20"/>
              </w:rPr>
              <w:t>lan fails to address in establishing the South Staffordshire element of the housing requirement:</w:t>
            </w:r>
          </w:p>
          <w:p w14:paraId="51566177" w14:textId="79E5E65F" w:rsidR="000E665C" w:rsidRDefault="000E665C" w:rsidP="00644675">
            <w:pPr>
              <w:rPr>
                <w:rFonts w:ascii="Verdana" w:hAnsi="Verdana" w:cs="Arial"/>
                <w:sz w:val="20"/>
                <w:szCs w:val="20"/>
              </w:rPr>
            </w:pPr>
          </w:p>
          <w:p w14:paraId="03C3CA0B" w14:textId="66722BCE" w:rsidR="000E665C" w:rsidRDefault="000E665C" w:rsidP="000E665C">
            <w:pPr>
              <w:pStyle w:val="ListParagraph"/>
              <w:numPr>
                <w:ilvl w:val="0"/>
                <w:numId w:val="1"/>
              </w:numPr>
              <w:ind w:left="321" w:hanging="284"/>
              <w:rPr>
                <w:rFonts w:ascii="Verdana" w:hAnsi="Verdana" w:cs="Arial"/>
                <w:sz w:val="20"/>
                <w:szCs w:val="20"/>
              </w:rPr>
            </w:pPr>
            <w:r>
              <w:rPr>
                <w:rFonts w:ascii="Verdana" w:hAnsi="Verdana" w:cs="Arial"/>
                <w:sz w:val="20"/>
                <w:szCs w:val="20"/>
              </w:rPr>
              <w:t xml:space="preserve">The housing requirement proposed in the consultation draft </w:t>
            </w:r>
            <w:r w:rsidR="00961E14">
              <w:rPr>
                <w:rFonts w:ascii="Verdana" w:hAnsi="Verdana" w:cs="Arial"/>
                <w:sz w:val="20"/>
                <w:szCs w:val="20"/>
              </w:rPr>
              <w:t>P</w:t>
            </w:r>
            <w:r>
              <w:rPr>
                <w:rFonts w:ascii="Verdana" w:hAnsi="Verdana" w:cs="Arial"/>
                <w:sz w:val="20"/>
                <w:szCs w:val="20"/>
              </w:rPr>
              <w:t xml:space="preserve">lan is below the Standard Method figure derived from the Council’s own </w:t>
            </w:r>
            <w:r w:rsidR="0056525A">
              <w:rPr>
                <w:rFonts w:ascii="Verdana" w:hAnsi="Verdana" w:cs="Arial"/>
                <w:sz w:val="20"/>
                <w:szCs w:val="20"/>
              </w:rPr>
              <w:t>SSHMA</w:t>
            </w:r>
            <w:r>
              <w:rPr>
                <w:rFonts w:ascii="Verdana" w:hAnsi="Verdana" w:cs="Arial"/>
                <w:sz w:val="20"/>
                <w:szCs w:val="20"/>
              </w:rPr>
              <w:t>.</w:t>
            </w:r>
          </w:p>
          <w:p w14:paraId="172678A5" w14:textId="77777777" w:rsidR="003D5369" w:rsidRDefault="003D5369" w:rsidP="003D5369">
            <w:pPr>
              <w:pStyle w:val="ListParagraph"/>
              <w:ind w:left="321"/>
              <w:rPr>
                <w:rFonts w:ascii="Verdana" w:hAnsi="Verdana" w:cs="Arial"/>
                <w:sz w:val="20"/>
                <w:szCs w:val="20"/>
              </w:rPr>
            </w:pPr>
          </w:p>
          <w:p w14:paraId="6EC5DF98" w14:textId="6D189B7A" w:rsidR="000E665C" w:rsidRDefault="000E665C" w:rsidP="000E665C">
            <w:pPr>
              <w:pStyle w:val="ListParagraph"/>
              <w:numPr>
                <w:ilvl w:val="0"/>
                <w:numId w:val="1"/>
              </w:numPr>
              <w:ind w:left="321" w:hanging="284"/>
              <w:rPr>
                <w:rFonts w:ascii="Verdana" w:hAnsi="Verdana" w:cs="Arial"/>
                <w:sz w:val="20"/>
                <w:szCs w:val="20"/>
              </w:rPr>
            </w:pPr>
            <w:r>
              <w:rPr>
                <w:rFonts w:ascii="Verdana" w:hAnsi="Verdana" w:cs="Arial"/>
                <w:sz w:val="20"/>
                <w:szCs w:val="20"/>
              </w:rPr>
              <w:t xml:space="preserve">The </w:t>
            </w:r>
            <w:r w:rsidR="0056525A">
              <w:rPr>
                <w:rFonts w:ascii="Verdana" w:hAnsi="Verdana" w:cs="Arial"/>
                <w:sz w:val="20"/>
                <w:szCs w:val="20"/>
              </w:rPr>
              <w:t>SSHMA</w:t>
            </w:r>
            <w:r>
              <w:rPr>
                <w:rFonts w:ascii="Verdana" w:hAnsi="Verdana" w:cs="Arial"/>
                <w:sz w:val="20"/>
                <w:szCs w:val="20"/>
              </w:rPr>
              <w:t xml:space="preserve"> fails to correctly factor in affordable housing need.  The draft plan</w:t>
            </w:r>
            <w:r w:rsidR="00997B58">
              <w:rPr>
                <w:rFonts w:ascii="Verdana" w:hAnsi="Verdana" w:cs="Arial"/>
                <w:sz w:val="20"/>
                <w:szCs w:val="20"/>
              </w:rPr>
              <w:t xml:space="preserve"> </w:t>
            </w:r>
            <w:proofErr w:type="gramStart"/>
            <w:r w:rsidR="00997B58">
              <w:rPr>
                <w:rFonts w:ascii="Verdana" w:hAnsi="Verdana" w:cs="Arial"/>
                <w:sz w:val="20"/>
                <w:szCs w:val="20"/>
              </w:rPr>
              <w:t>over estimates</w:t>
            </w:r>
            <w:proofErr w:type="gramEnd"/>
            <w:r w:rsidR="00997B58">
              <w:rPr>
                <w:rFonts w:ascii="Verdana" w:hAnsi="Verdana" w:cs="Arial"/>
                <w:sz w:val="20"/>
                <w:szCs w:val="20"/>
              </w:rPr>
              <w:t xml:space="preserve"> the number of affordable houses to meet South Staffordshire’s needs due to the current policy structure.  The reason for this is that the </w:t>
            </w:r>
            <w:r w:rsidR="00997B58">
              <w:rPr>
                <w:rFonts w:ascii="Verdana" w:hAnsi="Verdana" w:cs="Arial"/>
                <w:sz w:val="20"/>
                <w:szCs w:val="20"/>
              </w:rPr>
              <w:lastRenderedPageBreak/>
              <w:t>emerging plan</w:t>
            </w:r>
            <w:r>
              <w:rPr>
                <w:rFonts w:ascii="Verdana" w:hAnsi="Verdana" w:cs="Arial"/>
                <w:sz w:val="20"/>
                <w:szCs w:val="20"/>
              </w:rPr>
              <w:t xml:space="preserve"> seeks to rely upon affordable housing delivery from the 4,000 dwellings proposed to meet the growth requirements of the conurbation to support the South Staffordshire affordable housing need.  This is inappropriate given that these 4,000 dwellings are proposed to meet the growth requirements of the conurbation </w:t>
            </w:r>
            <w:r w:rsidR="00FD53BB">
              <w:rPr>
                <w:rFonts w:ascii="Verdana" w:hAnsi="Verdana" w:cs="Arial"/>
                <w:sz w:val="20"/>
                <w:szCs w:val="20"/>
              </w:rPr>
              <w:t xml:space="preserve">who </w:t>
            </w:r>
            <w:r w:rsidR="001B02FA">
              <w:rPr>
                <w:rFonts w:ascii="Verdana" w:hAnsi="Verdana" w:cs="Arial"/>
                <w:sz w:val="20"/>
                <w:szCs w:val="20"/>
              </w:rPr>
              <w:t xml:space="preserve">have </w:t>
            </w:r>
            <w:r w:rsidR="00DD5684">
              <w:rPr>
                <w:rFonts w:ascii="Verdana" w:hAnsi="Verdana" w:cs="Arial"/>
                <w:sz w:val="20"/>
                <w:szCs w:val="20"/>
              </w:rPr>
              <w:t>their own</w:t>
            </w:r>
            <w:r>
              <w:rPr>
                <w:rFonts w:ascii="Verdana" w:hAnsi="Verdana" w:cs="Arial"/>
                <w:sz w:val="20"/>
                <w:szCs w:val="20"/>
              </w:rPr>
              <w:t xml:space="preserve"> affordable housing needs.</w:t>
            </w:r>
          </w:p>
          <w:p w14:paraId="22BAFF85" w14:textId="77777777" w:rsidR="003D5369" w:rsidRDefault="003D5369" w:rsidP="003D5369">
            <w:pPr>
              <w:pStyle w:val="ListParagraph"/>
              <w:ind w:left="321"/>
              <w:rPr>
                <w:rFonts w:ascii="Verdana" w:hAnsi="Verdana" w:cs="Arial"/>
                <w:sz w:val="20"/>
                <w:szCs w:val="20"/>
              </w:rPr>
            </w:pPr>
          </w:p>
          <w:p w14:paraId="7332912D" w14:textId="435FD0AD" w:rsidR="000E665C" w:rsidRDefault="000E665C" w:rsidP="000E665C">
            <w:pPr>
              <w:pStyle w:val="ListParagraph"/>
              <w:numPr>
                <w:ilvl w:val="0"/>
                <w:numId w:val="1"/>
              </w:numPr>
              <w:ind w:left="321" w:hanging="284"/>
              <w:rPr>
                <w:rFonts w:ascii="Verdana" w:hAnsi="Verdana" w:cs="Arial"/>
                <w:sz w:val="20"/>
                <w:szCs w:val="20"/>
              </w:rPr>
            </w:pPr>
            <w:r>
              <w:rPr>
                <w:rFonts w:ascii="Verdana" w:hAnsi="Verdana" w:cs="Arial"/>
                <w:sz w:val="20"/>
                <w:szCs w:val="20"/>
              </w:rPr>
              <w:t xml:space="preserve">No consideration has been given to uplifting the minimum Standard Method housing figure to </w:t>
            </w:r>
            <w:r w:rsidR="00FD53BB">
              <w:rPr>
                <w:rFonts w:ascii="Verdana" w:hAnsi="Verdana" w:cs="Arial"/>
                <w:sz w:val="20"/>
                <w:szCs w:val="20"/>
              </w:rPr>
              <w:t>support the</w:t>
            </w:r>
            <w:r>
              <w:rPr>
                <w:rFonts w:ascii="Verdana" w:hAnsi="Verdana" w:cs="Arial"/>
                <w:sz w:val="20"/>
                <w:szCs w:val="20"/>
              </w:rPr>
              <w:t xml:space="preserve"> economic growth aspirations </w:t>
            </w:r>
            <w:r w:rsidR="00997B58">
              <w:rPr>
                <w:rFonts w:ascii="Verdana" w:hAnsi="Verdana" w:cs="Arial"/>
                <w:sz w:val="20"/>
                <w:szCs w:val="20"/>
              </w:rPr>
              <w:t>or</w:t>
            </w:r>
            <w:r>
              <w:rPr>
                <w:rFonts w:ascii="Verdana" w:hAnsi="Verdana" w:cs="Arial"/>
                <w:sz w:val="20"/>
                <w:szCs w:val="20"/>
              </w:rPr>
              <w:t xml:space="preserve"> the fact that </w:t>
            </w:r>
            <w:r w:rsidR="00FD53BB">
              <w:rPr>
                <w:rFonts w:ascii="Verdana" w:hAnsi="Verdana" w:cs="Arial"/>
                <w:sz w:val="20"/>
                <w:szCs w:val="20"/>
              </w:rPr>
              <w:t>changes in</w:t>
            </w:r>
            <w:r>
              <w:rPr>
                <w:rFonts w:ascii="Verdana" w:hAnsi="Verdana" w:cs="Arial"/>
                <w:sz w:val="20"/>
                <w:szCs w:val="20"/>
              </w:rPr>
              <w:t xml:space="preserve"> age profile of South Staffordshire </w:t>
            </w:r>
            <w:r w:rsidR="00FD53BB">
              <w:rPr>
                <w:rFonts w:ascii="Verdana" w:hAnsi="Verdana" w:cs="Arial"/>
                <w:sz w:val="20"/>
                <w:szCs w:val="20"/>
              </w:rPr>
              <w:t>means there is a</w:t>
            </w:r>
            <w:r>
              <w:rPr>
                <w:rFonts w:ascii="Verdana" w:hAnsi="Verdana" w:cs="Arial"/>
                <w:sz w:val="20"/>
                <w:szCs w:val="20"/>
              </w:rPr>
              <w:t xml:space="preserve"> decrease in residents of a working age.</w:t>
            </w:r>
          </w:p>
          <w:p w14:paraId="04471DC5" w14:textId="374DAE30" w:rsidR="00FD53BB" w:rsidRDefault="00FD53BB" w:rsidP="00997B58">
            <w:pPr>
              <w:rPr>
                <w:rFonts w:ascii="Verdana" w:hAnsi="Verdana" w:cs="Arial"/>
                <w:sz w:val="20"/>
                <w:szCs w:val="20"/>
              </w:rPr>
            </w:pPr>
          </w:p>
          <w:p w14:paraId="3A2033F1" w14:textId="77777777" w:rsidR="00FD53BB" w:rsidRDefault="00FD53BB" w:rsidP="000E665C">
            <w:pPr>
              <w:ind w:left="37"/>
              <w:rPr>
                <w:rFonts w:ascii="Verdana" w:hAnsi="Verdana" w:cs="Arial"/>
                <w:sz w:val="20"/>
                <w:szCs w:val="20"/>
              </w:rPr>
            </w:pPr>
          </w:p>
          <w:p w14:paraId="387CA079" w14:textId="612087C4" w:rsidR="000E665C" w:rsidRPr="00961E14" w:rsidRDefault="003D5369" w:rsidP="000E665C">
            <w:pPr>
              <w:ind w:left="37"/>
              <w:rPr>
                <w:rFonts w:ascii="Verdana" w:hAnsi="Verdana" w:cs="Arial"/>
                <w:b/>
                <w:bCs/>
                <w:i/>
                <w:iCs/>
                <w:sz w:val="20"/>
                <w:szCs w:val="20"/>
              </w:rPr>
            </w:pPr>
            <w:r w:rsidRPr="00961E14">
              <w:rPr>
                <w:rFonts w:ascii="Verdana" w:hAnsi="Verdana" w:cs="Arial"/>
                <w:b/>
                <w:bCs/>
                <w:i/>
                <w:iCs/>
                <w:sz w:val="20"/>
                <w:szCs w:val="20"/>
              </w:rPr>
              <w:t>Additional housing to contribute towards meeting the unmet needs of the Housing Market Area</w:t>
            </w:r>
          </w:p>
          <w:p w14:paraId="322DDDB3" w14:textId="3805464A" w:rsidR="00AE2F13" w:rsidRDefault="00AE2F13" w:rsidP="00644675">
            <w:pPr>
              <w:rPr>
                <w:rFonts w:ascii="Verdana" w:hAnsi="Verdana" w:cs="Arial"/>
                <w:sz w:val="20"/>
                <w:szCs w:val="20"/>
              </w:rPr>
            </w:pPr>
          </w:p>
          <w:p w14:paraId="3D6667CA" w14:textId="16C831EA" w:rsidR="003D5369" w:rsidRDefault="00FD53BB" w:rsidP="00644675">
            <w:pPr>
              <w:rPr>
                <w:rFonts w:ascii="Verdana" w:hAnsi="Verdana" w:cs="Arial"/>
                <w:sz w:val="20"/>
                <w:szCs w:val="20"/>
              </w:rPr>
            </w:pPr>
            <w:r>
              <w:rPr>
                <w:rFonts w:ascii="Verdana" w:hAnsi="Verdana" w:cs="Arial"/>
                <w:sz w:val="20"/>
                <w:szCs w:val="20"/>
              </w:rPr>
              <w:t>T</w:t>
            </w:r>
            <w:r w:rsidR="003D5369">
              <w:rPr>
                <w:rFonts w:ascii="Verdana" w:hAnsi="Verdana" w:cs="Arial"/>
                <w:sz w:val="20"/>
                <w:szCs w:val="20"/>
              </w:rPr>
              <w:t xml:space="preserve">o support the suggestion that the </w:t>
            </w:r>
            <w:r w:rsidR="00997B58">
              <w:rPr>
                <w:rFonts w:ascii="Verdana" w:hAnsi="Verdana" w:cs="Arial"/>
                <w:sz w:val="20"/>
                <w:szCs w:val="20"/>
              </w:rPr>
              <w:t xml:space="preserve">emerging </w:t>
            </w:r>
            <w:r w:rsidR="003D5369">
              <w:rPr>
                <w:rFonts w:ascii="Verdana" w:hAnsi="Verdana" w:cs="Arial"/>
                <w:sz w:val="20"/>
                <w:szCs w:val="20"/>
              </w:rPr>
              <w:t xml:space="preserve">Plan should deliver 4,000 houses to </w:t>
            </w:r>
            <w:r>
              <w:rPr>
                <w:rFonts w:ascii="Verdana" w:hAnsi="Verdana" w:cs="Arial"/>
                <w:sz w:val="20"/>
                <w:szCs w:val="20"/>
              </w:rPr>
              <w:t>assist</w:t>
            </w:r>
            <w:r w:rsidR="003D5369">
              <w:rPr>
                <w:rFonts w:ascii="Verdana" w:hAnsi="Verdana" w:cs="Arial"/>
                <w:sz w:val="20"/>
                <w:szCs w:val="20"/>
              </w:rPr>
              <w:t xml:space="preserve"> the housing needs of the conurbation, </w:t>
            </w:r>
            <w:r w:rsidR="00997B58">
              <w:rPr>
                <w:rFonts w:ascii="Verdana" w:hAnsi="Verdana" w:cs="Arial"/>
                <w:sz w:val="20"/>
                <w:szCs w:val="20"/>
              </w:rPr>
              <w:t>the Council</w:t>
            </w:r>
            <w:r w:rsidR="003D5369">
              <w:rPr>
                <w:rFonts w:ascii="Verdana" w:hAnsi="Verdana" w:cs="Arial"/>
                <w:sz w:val="20"/>
                <w:szCs w:val="20"/>
              </w:rPr>
              <w:t xml:space="preserve"> relies upon the conclusions of the GB</w:t>
            </w:r>
            <w:r w:rsidR="0056525A">
              <w:rPr>
                <w:rFonts w:ascii="Verdana" w:hAnsi="Verdana" w:cs="Arial"/>
                <w:sz w:val="20"/>
                <w:szCs w:val="20"/>
              </w:rPr>
              <w:t>SSHMA</w:t>
            </w:r>
            <w:r w:rsidR="003D5369">
              <w:rPr>
                <w:rFonts w:ascii="Verdana" w:hAnsi="Verdana" w:cs="Arial"/>
                <w:sz w:val="20"/>
                <w:szCs w:val="20"/>
              </w:rPr>
              <w:t xml:space="preserve"> Strategic Growth Study 2018 and its subsequent updates.  It is advised at </w:t>
            </w:r>
            <w:r w:rsidR="00997B58">
              <w:rPr>
                <w:rFonts w:ascii="Verdana" w:hAnsi="Verdana" w:cs="Arial"/>
                <w:sz w:val="20"/>
                <w:szCs w:val="20"/>
              </w:rPr>
              <w:t>P</w:t>
            </w:r>
            <w:r w:rsidR="003D5369">
              <w:rPr>
                <w:rFonts w:ascii="Verdana" w:hAnsi="Verdana" w:cs="Arial"/>
                <w:sz w:val="20"/>
                <w:szCs w:val="20"/>
              </w:rPr>
              <w:t xml:space="preserve">aragraph 5.16 of the </w:t>
            </w:r>
            <w:r w:rsidR="00997B58">
              <w:rPr>
                <w:rFonts w:ascii="Verdana" w:hAnsi="Verdana" w:cs="Arial"/>
                <w:sz w:val="20"/>
                <w:szCs w:val="20"/>
              </w:rPr>
              <w:t xml:space="preserve">emerging </w:t>
            </w:r>
            <w:r w:rsidR="003D5369">
              <w:rPr>
                <w:rFonts w:ascii="Verdana" w:hAnsi="Verdana" w:cs="Arial"/>
                <w:sz w:val="20"/>
                <w:szCs w:val="20"/>
              </w:rPr>
              <w:t>Plan that this evidence base has not been updated to recommend an</w:t>
            </w:r>
            <w:r w:rsidR="00997B58">
              <w:rPr>
                <w:rFonts w:ascii="Verdana" w:hAnsi="Verdana" w:cs="Arial"/>
                <w:sz w:val="20"/>
                <w:szCs w:val="20"/>
              </w:rPr>
              <w:t>y</w:t>
            </w:r>
            <w:r w:rsidR="003D5369">
              <w:rPr>
                <w:rFonts w:ascii="Verdana" w:hAnsi="Verdana" w:cs="Arial"/>
                <w:sz w:val="20"/>
                <w:szCs w:val="20"/>
              </w:rPr>
              <w:t xml:space="preserve"> alternative or additional strategic locations for housing growth.  It is, however, clear there is significant evidence to support the fact that the Strategic Growth Study is completely out of date and not fit for purpose</w:t>
            </w:r>
            <w:r w:rsidR="001B02FA">
              <w:rPr>
                <w:rFonts w:ascii="Verdana" w:hAnsi="Verdana" w:cs="Arial"/>
                <w:sz w:val="20"/>
                <w:szCs w:val="20"/>
              </w:rPr>
              <w:t xml:space="preserve"> to</w:t>
            </w:r>
            <w:r w:rsidR="003D5369">
              <w:rPr>
                <w:rFonts w:ascii="Verdana" w:hAnsi="Verdana" w:cs="Arial"/>
                <w:sz w:val="20"/>
                <w:szCs w:val="20"/>
              </w:rPr>
              <w:t xml:space="preserve"> </w:t>
            </w:r>
            <w:r w:rsidR="00DD5684">
              <w:rPr>
                <w:rFonts w:ascii="Verdana" w:hAnsi="Verdana" w:cs="Arial"/>
                <w:sz w:val="20"/>
                <w:szCs w:val="20"/>
              </w:rPr>
              <w:t>inform</w:t>
            </w:r>
            <w:r w:rsidR="003D5369">
              <w:rPr>
                <w:rFonts w:ascii="Verdana" w:hAnsi="Verdana" w:cs="Arial"/>
                <w:sz w:val="20"/>
                <w:szCs w:val="20"/>
              </w:rPr>
              <w:t xml:space="preserve"> preparation of the South Staffordshire Plan.</w:t>
            </w:r>
          </w:p>
          <w:p w14:paraId="79FC6649" w14:textId="62ECE997" w:rsidR="003D5369" w:rsidRDefault="003D5369" w:rsidP="00644675">
            <w:pPr>
              <w:rPr>
                <w:rFonts w:ascii="Verdana" w:hAnsi="Verdana" w:cs="Arial"/>
                <w:sz w:val="20"/>
                <w:szCs w:val="20"/>
              </w:rPr>
            </w:pPr>
          </w:p>
          <w:p w14:paraId="35CA356D" w14:textId="7454514C" w:rsidR="003D5369" w:rsidRDefault="003D5369" w:rsidP="00644675">
            <w:pPr>
              <w:rPr>
                <w:rFonts w:ascii="Verdana" w:hAnsi="Verdana" w:cs="Arial"/>
                <w:sz w:val="20"/>
                <w:szCs w:val="20"/>
              </w:rPr>
            </w:pPr>
            <w:r>
              <w:rPr>
                <w:rFonts w:ascii="Verdana" w:hAnsi="Verdana" w:cs="Arial"/>
                <w:sz w:val="20"/>
                <w:szCs w:val="20"/>
              </w:rPr>
              <w:t xml:space="preserve">The Framework advises at </w:t>
            </w:r>
            <w:r w:rsidR="00FD53BB">
              <w:rPr>
                <w:rFonts w:ascii="Verdana" w:hAnsi="Verdana" w:cs="Arial"/>
                <w:sz w:val="20"/>
                <w:szCs w:val="20"/>
              </w:rPr>
              <w:t>P</w:t>
            </w:r>
            <w:r>
              <w:rPr>
                <w:rFonts w:ascii="Verdana" w:hAnsi="Verdana" w:cs="Arial"/>
                <w:sz w:val="20"/>
                <w:szCs w:val="20"/>
              </w:rPr>
              <w:t>aragraph 61 that the Standard Method should be used as a starting point for establishing the housing requirement.  The Strategic Growth Study does not establish housing need using the Standard Method.  It concludes that during the period 2011 to 2031 a minimum of 205</w:t>
            </w:r>
            <w:r w:rsidR="001B02FA">
              <w:rPr>
                <w:rFonts w:ascii="Verdana" w:hAnsi="Verdana" w:cs="Arial"/>
                <w:sz w:val="20"/>
                <w:szCs w:val="20"/>
              </w:rPr>
              <w:t>,000</w:t>
            </w:r>
            <w:r>
              <w:rPr>
                <w:rFonts w:ascii="Verdana" w:hAnsi="Verdana" w:cs="Arial"/>
                <w:sz w:val="20"/>
                <w:szCs w:val="20"/>
              </w:rPr>
              <w:t xml:space="preserve"> homes are required, which broadly reflect the 2014 based sub-national population scenario </w:t>
            </w:r>
            <w:r w:rsidR="00FD53BB">
              <w:rPr>
                <w:rFonts w:ascii="Verdana" w:hAnsi="Verdana" w:cs="Arial"/>
                <w:sz w:val="20"/>
                <w:szCs w:val="20"/>
              </w:rPr>
              <w:t>for</w:t>
            </w:r>
            <w:r>
              <w:rPr>
                <w:rFonts w:ascii="Verdana" w:hAnsi="Verdana" w:cs="Arial"/>
                <w:sz w:val="20"/>
                <w:szCs w:val="20"/>
              </w:rPr>
              <w:t xml:space="preserve"> the study area.  The basis for establishing the housing requirement in the Strategic Growth Study is not based upon any recognised methodology, it is not robust</w:t>
            </w:r>
            <w:r w:rsidR="00FD53BB">
              <w:rPr>
                <w:rFonts w:ascii="Verdana" w:hAnsi="Verdana" w:cs="Arial"/>
                <w:sz w:val="20"/>
                <w:szCs w:val="20"/>
              </w:rPr>
              <w:t>,</w:t>
            </w:r>
            <w:r w:rsidR="0056525A">
              <w:rPr>
                <w:rFonts w:ascii="Verdana" w:hAnsi="Verdana" w:cs="Arial"/>
                <w:sz w:val="20"/>
                <w:szCs w:val="20"/>
              </w:rPr>
              <w:t xml:space="preserve"> and</w:t>
            </w:r>
            <w:r>
              <w:rPr>
                <w:rFonts w:ascii="Verdana" w:hAnsi="Verdana" w:cs="Arial"/>
                <w:sz w:val="20"/>
                <w:szCs w:val="20"/>
              </w:rPr>
              <w:t xml:space="preserve"> it is not suitable for plan making purposes.</w:t>
            </w:r>
          </w:p>
          <w:p w14:paraId="639B179B" w14:textId="4FE57A16" w:rsidR="003D5369" w:rsidRDefault="003D5369" w:rsidP="00644675">
            <w:pPr>
              <w:rPr>
                <w:rFonts w:ascii="Verdana" w:hAnsi="Verdana" w:cs="Arial"/>
                <w:sz w:val="20"/>
                <w:szCs w:val="20"/>
              </w:rPr>
            </w:pPr>
          </w:p>
          <w:p w14:paraId="31898399" w14:textId="3959CA3A" w:rsidR="003D5369" w:rsidRDefault="003D5369" w:rsidP="00644675">
            <w:pPr>
              <w:rPr>
                <w:rFonts w:ascii="Verdana" w:hAnsi="Verdana" w:cs="Arial"/>
                <w:sz w:val="20"/>
                <w:szCs w:val="20"/>
              </w:rPr>
            </w:pPr>
            <w:r>
              <w:rPr>
                <w:rFonts w:ascii="Verdana" w:hAnsi="Verdana" w:cs="Arial"/>
                <w:sz w:val="20"/>
                <w:szCs w:val="20"/>
              </w:rPr>
              <w:t xml:space="preserve">Furthermore, the Strategic Growth Study covers the period 2011 to 2031.  The emerging South Staffordshire Plan </w:t>
            </w:r>
            <w:r w:rsidR="00FD53BB">
              <w:rPr>
                <w:rFonts w:ascii="Verdana" w:hAnsi="Verdana" w:cs="Arial"/>
                <w:sz w:val="20"/>
                <w:szCs w:val="20"/>
              </w:rPr>
              <w:t xml:space="preserve">currently </w:t>
            </w:r>
            <w:r>
              <w:rPr>
                <w:rFonts w:ascii="Verdana" w:hAnsi="Verdana" w:cs="Arial"/>
                <w:sz w:val="20"/>
                <w:szCs w:val="20"/>
              </w:rPr>
              <w:t xml:space="preserve">covers the period to 2039.  The shortfall figures </w:t>
            </w:r>
            <w:r w:rsidR="001B02FA">
              <w:rPr>
                <w:rFonts w:ascii="Verdana" w:hAnsi="Verdana" w:cs="Arial"/>
                <w:sz w:val="20"/>
                <w:szCs w:val="20"/>
              </w:rPr>
              <w:t>in</w:t>
            </w:r>
            <w:r>
              <w:rPr>
                <w:rFonts w:ascii="Verdana" w:hAnsi="Verdana" w:cs="Arial"/>
                <w:sz w:val="20"/>
                <w:szCs w:val="20"/>
              </w:rPr>
              <w:t xml:space="preserve"> the</w:t>
            </w:r>
            <w:r w:rsidR="001B02FA">
              <w:rPr>
                <w:rFonts w:ascii="Verdana" w:hAnsi="Verdana" w:cs="Arial"/>
                <w:sz w:val="20"/>
                <w:szCs w:val="20"/>
              </w:rPr>
              <w:t xml:space="preserve"> Strategic Growth S</w:t>
            </w:r>
            <w:r>
              <w:rPr>
                <w:rFonts w:ascii="Verdana" w:hAnsi="Verdana" w:cs="Arial"/>
                <w:sz w:val="20"/>
                <w:szCs w:val="20"/>
              </w:rPr>
              <w:t xml:space="preserve">tudy are, therefore, only for the next 9 years.  </w:t>
            </w:r>
            <w:r w:rsidR="001B02FA">
              <w:rPr>
                <w:rFonts w:ascii="Verdana" w:hAnsi="Verdana" w:cs="Arial"/>
                <w:sz w:val="20"/>
                <w:szCs w:val="20"/>
              </w:rPr>
              <w:t xml:space="preserve">Even if the housing figure in the Strategic Growth Plan was robust, it provides no evidence on housing need for the later part of the Plan period. </w:t>
            </w:r>
          </w:p>
          <w:p w14:paraId="3ED25B0F" w14:textId="26FC31BB" w:rsidR="003D5369" w:rsidRDefault="003D5369" w:rsidP="00644675">
            <w:pPr>
              <w:rPr>
                <w:rFonts w:ascii="Verdana" w:hAnsi="Verdana" w:cs="Arial"/>
                <w:sz w:val="20"/>
                <w:szCs w:val="20"/>
              </w:rPr>
            </w:pPr>
          </w:p>
          <w:p w14:paraId="340CA043" w14:textId="5DB09F3D" w:rsidR="003D5369" w:rsidRDefault="001B02FA" w:rsidP="00644675">
            <w:pPr>
              <w:rPr>
                <w:rFonts w:ascii="Verdana" w:hAnsi="Verdana" w:cs="Arial"/>
                <w:sz w:val="20"/>
                <w:szCs w:val="20"/>
              </w:rPr>
            </w:pPr>
            <w:r>
              <w:rPr>
                <w:rFonts w:ascii="Verdana" w:hAnsi="Verdana" w:cs="Arial"/>
                <w:sz w:val="20"/>
                <w:szCs w:val="20"/>
              </w:rPr>
              <w:t>Significantly</w:t>
            </w:r>
            <w:r w:rsidR="003D5369">
              <w:rPr>
                <w:rFonts w:ascii="Verdana" w:hAnsi="Verdana" w:cs="Arial"/>
                <w:sz w:val="20"/>
                <w:szCs w:val="20"/>
              </w:rPr>
              <w:t xml:space="preserve">, there is more up to date </w:t>
            </w:r>
            <w:r w:rsidR="00F676D1">
              <w:rPr>
                <w:rFonts w:ascii="Verdana" w:hAnsi="Verdana" w:cs="Arial"/>
                <w:sz w:val="20"/>
                <w:szCs w:val="20"/>
              </w:rPr>
              <w:t>evidence of a housing shortfall arising from the conurbation</w:t>
            </w:r>
            <w:r w:rsidR="00FD53BB">
              <w:t xml:space="preserve"> </w:t>
            </w:r>
            <w:r w:rsidR="00FD53BB">
              <w:rPr>
                <w:rFonts w:ascii="Verdana" w:hAnsi="Verdana" w:cs="Arial"/>
                <w:sz w:val="20"/>
                <w:szCs w:val="20"/>
              </w:rPr>
              <w:t>than those included within the Strategic Growth Study,</w:t>
            </w:r>
            <w:r>
              <w:rPr>
                <w:rFonts w:ascii="Verdana" w:hAnsi="Verdana" w:cs="Arial"/>
                <w:sz w:val="20"/>
                <w:szCs w:val="20"/>
              </w:rPr>
              <w:t xml:space="preserve"> </w:t>
            </w:r>
            <w:r w:rsidR="00FD53BB">
              <w:rPr>
                <w:rFonts w:ascii="Verdana" w:hAnsi="Verdana" w:cs="Arial"/>
                <w:sz w:val="20"/>
                <w:szCs w:val="20"/>
              </w:rPr>
              <w:t xml:space="preserve">which </w:t>
            </w:r>
            <w:r>
              <w:rPr>
                <w:rFonts w:ascii="Verdana" w:hAnsi="Verdana" w:cs="Arial"/>
                <w:sz w:val="20"/>
                <w:szCs w:val="20"/>
              </w:rPr>
              <w:t>is based upon the Standard Method, and update</w:t>
            </w:r>
            <w:r w:rsidR="0056525A">
              <w:rPr>
                <w:rFonts w:ascii="Verdana" w:hAnsi="Verdana" w:cs="Arial"/>
                <w:sz w:val="20"/>
                <w:szCs w:val="20"/>
              </w:rPr>
              <w:t>d</w:t>
            </w:r>
            <w:r>
              <w:rPr>
                <w:rFonts w:ascii="Verdana" w:hAnsi="Verdana" w:cs="Arial"/>
                <w:sz w:val="20"/>
                <w:szCs w:val="20"/>
              </w:rPr>
              <w:t xml:space="preserve"> housing capacity figures</w:t>
            </w:r>
            <w:r w:rsidR="00F676D1">
              <w:rPr>
                <w:rFonts w:ascii="Verdana" w:hAnsi="Verdana" w:cs="Arial"/>
                <w:sz w:val="20"/>
                <w:szCs w:val="20"/>
              </w:rPr>
              <w:t>.</w:t>
            </w:r>
          </w:p>
          <w:p w14:paraId="0F9A4E55" w14:textId="2DBBC156" w:rsidR="00F676D1" w:rsidRDefault="00F676D1" w:rsidP="00644675">
            <w:pPr>
              <w:rPr>
                <w:rFonts w:ascii="Verdana" w:hAnsi="Verdana" w:cs="Arial"/>
                <w:sz w:val="20"/>
                <w:szCs w:val="20"/>
              </w:rPr>
            </w:pPr>
          </w:p>
          <w:p w14:paraId="16F4CB66" w14:textId="27DCD986" w:rsidR="00F676D1" w:rsidRDefault="00F676D1" w:rsidP="00644675">
            <w:pPr>
              <w:rPr>
                <w:rFonts w:ascii="Verdana" w:hAnsi="Verdana" w:cs="Arial"/>
                <w:sz w:val="20"/>
                <w:szCs w:val="20"/>
              </w:rPr>
            </w:pPr>
            <w:r>
              <w:rPr>
                <w:rFonts w:ascii="Verdana" w:hAnsi="Verdana" w:cs="Arial"/>
                <w:sz w:val="20"/>
                <w:szCs w:val="20"/>
              </w:rPr>
              <w:t xml:space="preserve">The Birmingham Development Plan </w:t>
            </w:r>
            <w:r w:rsidR="001B02FA">
              <w:rPr>
                <w:rFonts w:ascii="Verdana" w:hAnsi="Verdana" w:cs="Arial"/>
                <w:sz w:val="20"/>
                <w:szCs w:val="20"/>
              </w:rPr>
              <w:t>(</w:t>
            </w:r>
            <w:r w:rsidR="001B02FA" w:rsidRPr="001B02FA">
              <w:rPr>
                <w:rFonts w:ascii="Verdana" w:hAnsi="Verdana" w:cs="Arial"/>
                <w:b/>
                <w:bCs/>
                <w:i/>
                <w:iCs/>
                <w:sz w:val="20"/>
                <w:szCs w:val="20"/>
              </w:rPr>
              <w:t>“BDP”</w:t>
            </w:r>
            <w:r w:rsidR="001B02FA">
              <w:rPr>
                <w:rFonts w:ascii="Verdana" w:hAnsi="Verdana" w:cs="Arial"/>
                <w:sz w:val="20"/>
                <w:szCs w:val="20"/>
              </w:rPr>
              <w:t xml:space="preserve">) </w:t>
            </w:r>
            <w:r>
              <w:rPr>
                <w:rFonts w:ascii="Verdana" w:hAnsi="Verdana" w:cs="Arial"/>
                <w:sz w:val="20"/>
                <w:szCs w:val="20"/>
              </w:rPr>
              <w:t>was adopted in January 2017.  Policy PG1 – Overall Levels of Growth, advised that 89,000 additional dwellings are required during the plan period (2011 to 2031) to meet the growth requirements of the city.  However, only 51,100 additional dwellings can be accommodated within the city’s administrative area.  This leaves a shortfall of 37,900 homes</w:t>
            </w:r>
            <w:r w:rsidR="006C4B24">
              <w:rPr>
                <w:rFonts w:ascii="Verdana" w:hAnsi="Verdana" w:cs="Arial"/>
                <w:sz w:val="20"/>
                <w:szCs w:val="20"/>
              </w:rPr>
              <w:t xml:space="preserve"> (including 14,400 affordable homes) that will need to be delivered elsewhere within the </w:t>
            </w:r>
            <w:r w:rsidR="0056525A">
              <w:rPr>
                <w:rFonts w:ascii="Verdana" w:hAnsi="Verdana" w:cs="Arial"/>
                <w:sz w:val="20"/>
                <w:szCs w:val="20"/>
              </w:rPr>
              <w:t>SSHMA</w:t>
            </w:r>
            <w:r w:rsidR="006C4B24">
              <w:rPr>
                <w:rFonts w:ascii="Verdana" w:hAnsi="Verdana" w:cs="Arial"/>
                <w:sz w:val="20"/>
                <w:szCs w:val="20"/>
              </w:rPr>
              <w:t>.</w:t>
            </w:r>
            <w:r w:rsidR="001B02FA">
              <w:rPr>
                <w:rFonts w:ascii="Verdana" w:hAnsi="Verdana" w:cs="Arial"/>
                <w:sz w:val="20"/>
                <w:szCs w:val="20"/>
              </w:rPr>
              <w:t xml:space="preserve"> This figure has been tested though the Local Plan examination process, unlike the Strategic Growth Study figure. </w:t>
            </w:r>
          </w:p>
          <w:p w14:paraId="3FBFCD43" w14:textId="3C326AD1" w:rsidR="006C4B24" w:rsidRDefault="006C4B24" w:rsidP="00644675">
            <w:pPr>
              <w:rPr>
                <w:rFonts w:ascii="Verdana" w:hAnsi="Verdana" w:cs="Arial"/>
                <w:sz w:val="20"/>
                <w:szCs w:val="20"/>
              </w:rPr>
            </w:pPr>
          </w:p>
          <w:p w14:paraId="7538A7D8" w14:textId="10560FB5" w:rsidR="006C4B24" w:rsidRDefault="006C4B24" w:rsidP="00644675">
            <w:pPr>
              <w:rPr>
                <w:rFonts w:ascii="Verdana" w:hAnsi="Verdana" w:cs="Arial"/>
                <w:sz w:val="20"/>
                <w:szCs w:val="20"/>
              </w:rPr>
            </w:pPr>
            <w:r>
              <w:rPr>
                <w:rFonts w:ascii="Verdana" w:hAnsi="Verdana" w:cs="Arial"/>
                <w:sz w:val="20"/>
                <w:szCs w:val="20"/>
              </w:rPr>
              <w:t xml:space="preserve">Since the BDP was adopted, Birmingham City Council </w:t>
            </w:r>
            <w:r w:rsidR="00FD53BB">
              <w:rPr>
                <w:rFonts w:ascii="Verdana" w:hAnsi="Verdana" w:cs="Arial"/>
                <w:sz w:val="20"/>
                <w:szCs w:val="20"/>
              </w:rPr>
              <w:t>initially</w:t>
            </w:r>
            <w:r w:rsidR="001B02FA">
              <w:rPr>
                <w:rFonts w:ascii="Verdana" w:hAnsi="Verdana" w:cs="Arial"/>
                <w:sz w:val="20"/>
                <w:szCs w:val="20"/>
              </w:rPr>
              <w:t xml:space="preserve"> </w:t>
            </w:r>
            <w:r>
              <w:rPr>
                <w:rFonts w:ascii="Verdana" w:hAnsi="Verdana" w:cs="Arial"/>
                <w:sz w:val="20"/>
                <w:szCs w:val="20"/>
              </w:rPr>
              <w:t>suggest</w:t>
            </w:r>
            <w:r w:rsidR="0056525A">
              <w:rPr>
                <w:rFonts w:ascii="Verdana" w:hAnsi="Verdana" w:cs="Arial"/>
                <w:sz w:val="20"/>
                <w:szCs w:val="20"/>
              </w:rPr>
              <w:t>ed</w:t>
            </w:r>
            <w:r>
              <w:rPr>
                <w:rFonts w:ascii="Verdana" w:hAnsi="Verdana" w:cs="Arial"/>
                <w:sz w:val="20"/>
                <w:szCs w:val="20"/>
              </w:rPr>
              <w:t xml:space="preserve"> that the extent of the housing shortfall has reduced.  This </w:t>
            </w:r>
            <w:r w:rsidR="00FD53BB">
              <w:rPr>
                <w:rFonts w:ascii="Verdana" w:hAnsi="Verdana" w:cs="Arial"/>
                <w:sz w:val="20"/>
                <w:szCs w:val="20"/>
              </w:rPr>
              <w:t>being</w:t>
            </w:r>
            <w:r>
              <w:rPr>
                <w:rFonts w:ascii="Verdana" w:hAnsi="Verdana" w:cs="Arial"/>
                <w:sz w:val="20"/>
                <w:szCs w:val="20"/>
              </w:rPr>
              <w:t xml:space="preserve"> due to additional urban capacity be</w:t>
            </w:r>
            <w:r w:rsidR="00FD53BB">
              <w:rPr>
                <w:rFonts w:ascii="Verdana" w:hAnsi="Verdana" w:cs="Arial"/>
                <w:sz w:val="20"/>
                <w:szCs w:val="20"/>
              </w:rPr>
              <w:t>ing</w:t>
            </w:r>
            <w:r>
              <w:rPr>
                <w:rFonts w:ascii="Verdana" w:hAnsi="Verdana" w:cs="Arial"/>
                <w:sz w:val="20"/>
                <w:szCs w:val="20"/>
              </w:rPr>
              <w:t xml:space="preserve"> found through the Council’s SHLAA</w:t>
            </w:r>
            <w:r w:rsidR="001B02FA">
              <w:rPr>
                <w:rFonts w:ascii="Verdana" w:hAnsi="Verdana" w:cs="Arial"/>
                <w:sz w:val="20"/>
                <w:szCs w:val="20"/>
              </w:rPr>
              <w:t xml:space="preserve"> updates</w:t>
            </w:r>
            <w:r>
              <w:rPr>
                <w:rFonts w:ascii="Verdana" w:hAnsi="Verdana" w:cs="Arial"/>
                <w:sz w:val="20"/>
                <w:szCs w:val="20"/>
              </w:rPr>
              <w:t>.  There is now, however,</w:t>
            </w:r>
            <w:r w:rsidR="001B02FA">
              <w:rPr>
                <w:rFonts w:ascii="Verdana" w:hAnsi="Verdana" w:cs="Arial"/>
                <w:sz w:val="20"/>
                <w:szCs w:val="20"/>
              </w:rPr>
              <w:t xml:space="preserve"> </w:t>
            </w:r>
            <w:r w:rsidR="00FD53BB">
              <w:rPr>
                <w:rFonts w:ascii="Verdana" w:hAnsi="Verdana" w:cs="Arial"/>
                <w:sz w:val="20"/>
                <w:szCs w:val="20"/>
              </w:rPr>
              <w:lastRenderedPageBreak/>
              <w:t>clear e</w:t>
            </w:r>
            <w:r>
              <w:rPr>
                <w:rFonts w:ascii="Verdana" w:hAnsi="Verdana" w:cs="Arial"/>
                <w:sz w:val="20"/>
                <w:szCs w:val="20"/>
              </w:rPr>
              <w:t xml:space="preserve">vidence that the housing shortfall in Birmingham has </w:t>
            </w:r>
            <w:proofErr w:type="gramStart"/>
            <w:r w:rsidR="00FD53BB">
              <w:rPr>
                <w:rFonts w:ascii="Verdana" w:hAnsi="Verdana" w:cs="Arial"/>
                <w:sz w:val="20"/>
                <w:szCs w:val="20"/>
              </w:rPr>
              <w:t xml:space="preserve">actually </w:t>
            </w:r>
            <w:r>
              <w:rPr>
                <w:rFonts w:ascii="Verdana" w:hAnsi="Verdana" w:cs="Arial"/>
                <w:sz w:val="20"/>
                <w:szCs w:val="20"/>
              </w:rPr>
              <w:t>increased</w:t>
            </w:r>
            <w:proofErr w:type="gramEnd"/>
            <w:r>
              <w:rPr>
                <w:rFonts w:ascii="Verdana" w:hAnsi="Verdana" w:cs="Arial"/>
                <w:sz w:val="20"/>
                <w:szCs w:val="20"/>
              </w:rPr>
              <w:t xml:space="preserve"> significantly.</w:t>
            </w:r>
          </w:p>
          <w:p w14:paraId="2F6FA0B2" w14:textId="68749185" w:rsidR="006C4B24" w:rsidRDefault="006C4B24" w:rsidP="00644675">
            <w:pPr>
              <w:rPr>
                <w:rFonts w:ascii="Verdana" w:hAnsi="Verdana" w:cs="Arial"/>
                <w:sz w:val="20"/>
                <w:szCs w:val="20"/>
              </w:rPr>
            </w:pPr>
          </w:p>
          <w:p w14:paraId="5AFF98BF" w14:textId="16D26722" w:rsidR="006C4B24" w:rsidRDefault="006C4B24" w:rsidP="00644675">
            <w:pPr>
              <w:rPr>
                <w:rFonts w:ascii="Verdana" w:hAnsi="Verdana" w:cs="Arial"/>
                <w:sz w:val="20"/>
                <w:szCs w:val="20"/>
              </w:rPr>
            </w:pPr>
            <w:r>
              <w:rPr>
                <w:rFonts w:ascii="Verdana" w:hAnsi="Verdana" w:cs="Arial"/>
                <w:sz w:val="20"/>
                <w:szCs w:val="20"/>
              </w:rPr>
              <w:t>Birmingham City Council has produced an Issues and Options consultation draft version of its emerging replacement Local Plan.  It advises that the Standard Method housing requirement for the period 2020 to 2042 is 149,286 dwellings.  As this is the minimum Standard Method figure this level of need should be afforded significant weight in understanding the extent of the housing shortfall</w:t>
            </w:r>
            <w:r w:rsidR="001B02FA">
              <w:rPr>
                <w:rFonts w:ascii="Verdana" w:hAnsi="Verdana" w:cs="Arial"/>
                <w:sz w:val="20"/>
                <w:szCs w:val="20"/>
              </w:rPr>
              <w:t xml:space="preserve"> as it has been established using the guidance in the Framework and PPG</w:t>
            </w:r>
            <w:r>
              <w:rPr>
                <w:rFonts w:ascii="Verdana" w:hAnsi="Verdana" w:cs="Arial"/>
                <w:sz w:val="20"/>
                <w:szCs w:val="20"/>
              </w:rPr>
              <w:t>.</w:t>
            </w:r>
          </w:p>
          <w:p w14:paraId="0956CC6A" w14:textId="61ECA88A" w:rsidR="006C4B24" w:rsidRDefault="006C4B24" w:rsidP="00644675">
            <w:pPr>
              <w:rPr>
                <w:rFonts w:ascii="Verdana" w:hAnsi="Verdana" w:cs="Arial"/>
                <w:sz w:val="20"/>
                <w:szCs w:val="20"/>
              </w:rPr>
            </w:pPr>
          </w:p>
          <w:p w14:paraId="4F0AB283" w14:textId="16F2CEEB" w:rsidR="006C4B24" w:rsidRDefault="006C4B24" w:rsidP="00644675">
            <w:pPr>
              <w:rPr>
                <w:rFonts w:ascii="Verdana" w:hAnsi="Verdana" w:cs="Arial"/>
                <w:sz w:val="20"/>
                <w:szCs w:val="20"/>
              </w:rPr>
            </w:pPr>
            <w:r>
              <w:rPr>
                <w:rFonts w:ascii="Verdana" w:hAnsi="Verdana" w:cs="Arial"/>
                <w:sz w:val="20"/>
                <w:szCs w:val="20"/>
              </w:rPr>
              <w:t xml:space="preserve">The Issues and Options consultation document suggests that the total capacity for development within the </w:t>
            </w:r>
            <w:r w:rsidR="00997B58">
              <w:rPr>
                <w:rFonts w:ascii="Verdana" w:hAnsi="Verdana" w:cs="Arial"/>
                <w:sz w:val="20"/>
                <w:szCs w:val="20"/>
              </w:rPr>
              <w:t>built-up</w:t>
            </w:r>
            <w:r>
              <w:rPr>
                <w:rFonts w:ascii="Verdana" w:hAnsi="Verdana" w:cs="Arial"/>
                <w:sz w:val="20"/>
                <w:szCs w:val="20"/>
              </w:rPr>
              <w:t xml:space="preserve"> area boundary of the city is 70,871 dwellings.  This relies upon all SHLAA sites coming forward for development and the provision of a significant number of windfalls (</w:t>
            </w:r>
            <w:r w:rsidR="001B02FA">
              <w:rPr>
                <w:rFonts w:ascii="Verdana" w:hAnsi="Verdana" w:cs="Arial"/>
                <w:sz w:val="20"/>
                <w:szCs w:val="20"/>
              </w:rPr>
              <w:t xml:space="preserve">the windfall assumption is </w:t>
            </w:r>
            <w:r>
              <w:rPr>
                <w:rFonts w:ascii="Verdana" w:hAnsi="Verdana" w:cs="Arial"/>
                <w:sz w:val="20"/>
                <w:szCs w:val="20"/>
              </w:rPr>
              <w:t xml:space="preserve">11,675 meaning that windfall development in Birmingham City will be greater than the total housing requirement currently proposed for South Staffordshire).  </w:t>
            </w:r>
            <w:r w:rsidR="00466D9A">
              <w:rPr>
                <w:rFonts w:ascii="Verdana" w:hAnsi="Verdana" w:cs="Arial"/>
                <w:sz w:val="20"/>
                <w:szCs w:val="20"/>
              </w:rPr>
              <w:t>Even with these very optimistic assumptions on what they can deliver in their urban area, t</w:t>
            </w:r>
            <w:r>
              <w:rPr>
                <w:rFonts w:ascii="Verdana" w:hAnsi="Verdana" w:cs="Arial"/>
                <w:sz w:val="20"/>
                <w:szCs w:val="20"/>
              </w:rPr>
              <w:t xml:space="preserve">his would </w:t>
            </w:r>
            <w:r w:rsidR="00466D9A">
              <w:rPr>
                <w:rFonts w:ascii="Verdana" w:hAnsi="Verdana" w:cs="Arial"/>
                <w:sz w:val="20"/>
                <w:szCs w:val="20"/>
              </w:rPr>
              <w:t xml:space="preserve">still </w:t>
            </w:r>
            <w:r>
              <w:rPr>
                <w:rFonts w:ascii="Verdana" w:hAnsi="Verdana" w:cs="Arial"/>
                <w:sz w:val="20"/>
                <w:szCs w:val="20"/>
              </w:rPr>
              <w:t>result in a housing shortfall of 78,415 dwellings.</w:t>
            </w:r>
          </w:p>
          <w:p w14:paraId="54B5CEC1" w14:textId="5DC998A7" w:rsidR="006C4B24" w:rsidRDefault="006C4B24" w:rsidP="00644675">
            <w:pPr>
              <w:rPr>
                <w:rFonts w:ascii="Verdana" w:hAnsi="Verdana" w:cs="Arial"/>
                <w:sz w:val="20"/>
                <w:szCs w:val="20"/>
              </w:rPr>
            </w:pPr>
          </w:p>
          <w:p w14:paraId="19F23701" w14:textId="634BBD8C" w:rsidR="006C4B24" w:rsidRDefault="006C4B24" w:rsidP="00644675">
            <w:pPr>
              <w:rPr>
                <w:rFonts w:ascii="Verdana" w:hAnsi="Verdana" w:cs="Arial"/>
                <w:sz w:val="20"/>
                <w:szCs w:val="20"/>
              </w:rPr>
            </w:pPr>
            <w:r>
              <w:rPr>
                <w:rFonts w:ascii="Verdana" w:hAnsi="Verdana" w:cs="Arial"/>
                <w:sz w:val="20"/>
                <w:szCs w:val="20"/>
              </w:rPr>
              <w:t xml:space="preserve">Until recently, the Black Country authorities </w:t>
            </w:r>
            <w:r w:rsidR="001B02FA">
              <w:rPr>
                <w:rFonts w:ascii="Verdana" w:hAnsi="Verdana" w:cs="Arial"/>
                <w:sz w:val="20"/>
                <w:szCs w:val="20"/>
              </w:rPr>
              <w:t>were</w:t>
            </w:r>
            <w:r>
              <w:rPr>
                <w:rFonts w:ascii="Verdana" w:hAnsi="Verdana" w:cs="Arial"/>
                <w:sz w:val="20"/>
                <w:szCs w:val="20"/>
              </w:rPr>
              <w:t xml:space="preserve"> in the process of preparing a joint plan.  This has now been abandoned in favour of the </w:t>
            </w:r>
            <w:r w:rsidR="006C4ACF">
              <w:rPr>
                <w:rFonts w:ascii="Verdana" w:hAnsi="Verdana" w:cs="Arial"/>
                <w:sz w:val="20"/>
                <w:szCs w:val="20"/>
              </w:rPr>
              <w:t>preparation of the individual plans.  However, as the emerging Black Country Plan had a housing requirement based upon the Standard Method</w:t>
            </w:r>
            <w:r w:rsidR="00997B58">
              <w:rPr>
                <w:rFonts w:ascii="Verdana" w:hAnsi="Verdana" w:cs="Arial"/>
                <w:sz w:val="20"/>
                <w:szCs w:val="20"/>
              </w:rPr>
              <w:t xml:space="preserve"> and</w:t>
            </w:r>
            <w:r w:rsidR="001B02FA">
              <w:rPr>
                <w:rFonts w:ascii="Verdana" w:hAnsi="Verdana" w:cs="Arial"/>
                <w:sz w:val="20"/>
                <w:szCs w:val="20"/>
              </w:rPr>
              <w:t xml:space="preserve"> the housing requirement</w:t>
            </w:r>
            <w:r w:rsidR="00466D9A">
              <w:rPr>
                <w:rFonts w:ascii="Verdana" w:hAnsi="Verdana" w:cs="Arial"/>
                <w:sz w:val="20"/>
                <w:szCs w:val="20"/>
              </w:rPr>
              <w:t xml:space="preserve"> proposed in it remains </w:t>
            </w:r>
            <w:r w:rsidR="001B02FA">
              <w:rPr>
                <w:rFonts w:ascii="Verdana" w:hAnsi="Verdana" w:cs="Arial"/>
                <w:sz w:val="20"/>
                <w:szCs w:val="20"/>
              </w:rPr>
              <w:t xml:space="preserve">a significant consideration in identifying the </w:t>
            </w:r>
            <w:r w:rsidR="009952B2">
              <w:rPr>
                <w:rFonts w:ascii="Verdana" w:hAnsi="Verdana" w:cs="Arial"/>
                <w:sz w:val="20"/>
                <w:szCs w:val="20"/>
              </w:rPr>
              <w:t>housing</w:t>
            </w:r>
            <w:r w:rsidR="001B02FA">
              <w:rPr>
                <w:rFonts w:ascii="Verdana" w:hAnsi="Verdana" w:cs="Arial"/>
                <w:sz w:val="20"/>
                <w:szCs w:val="20"/>
              </w:rPr>
              <w:t xml:space="preserve"> shortfall arising from the </w:t>
            </w:r>
            <w:r w:rsidR="009952B2">
              <w:rPr>
                <w:rFonts w:ascii="Verdana" w:hAnsi="Verdana" w:cs="Arial"/>
                <w:sz w:val="20"/>
                <w:szCs w:val="20"/>
              </w:rPr>
              <w:t>conurbation</w:t>
            </w:r>
            <w:r w:rsidR="006C4ACF">
              <w:rPr>
                <w:rFonts w:ascii="Verdana" w:hAnsi="Verdana" w:cs="Arial"/>
                <w:sz w:val="20"/>
                <w:szCs w:val="20"/>
              </w:rPr>
              <w:t xml:space="preserve">.  </w:t>
            </w:r>
            <w:r w:rsidR="00466D9A">
              <w:rPr>
                <w:rFonts w:ascii="Verdana" w:hAnsi="Verdana" w:cs="Arial"/>
                <w:sz w:val="20"/>
                <w:szCs w:val="20"/>
              </w:rPr>
              <w:t xml:space="preserve">The Black Country authorities will still need to use the </w:t>
            </w:r>
            <w:r w:rsidR="00723F06">
              <w:rPr>
                <w:rFonts w:ascii="Verdana" w:hAnsi="Verdana" w:cs="Arial"/>
                <w:sz w:val="20"/>
                <w:szCs w:val="20"/>
              </w:rPr>
              <w:t>Standard Method and therefore the combined housing requirement should</w:t>
            </w:r>
            <w:r w:rsidR="00466D9A">
              <w:rPr>
                <w:rFonts w:ascii="Verdana" w:hAnsi="Verdana" w:cs="Arial"/>
                <w:sz w:val="20"/>
                <w:szCs w:val="20"/>
              </w:rPr>
              <w:t>, as a minimum,</w:t>
            </w:r>
            <w:r w:rsidR="00723F06">
              <w:rPr>
                <w:rFonts w:ascii="Verdana" w:hAnsi="Verdana" w:cs="Arial"/>
                <w:sz w:val="20"/>
                <w:szCs w:val="20"/>
              </w:rPr>
              <w:t xml:space="preserve"> be the same as that as if a single plan </w:t>
            </w:r>
            <w:r w:rsidR="0056525A">
              <w:rPr>
                <w:rFonts w:ascii="Verdana" w:hAnsi="Verdana" w:cs="Arial"/>
                <w:sz w:val="20"/>
                <w:szCs w:val="20"/>
              </w:rPr>
              <w:t>wa</w:t>
            </w:r>
            <w:r w:rsidR="00723F06">
              <w:rPr>
                <w:rFonts w:ascii="Verdana" w:hAnsi="Verdana" w:cs="Arial"/>
                <w:sz w:val="20"/>
                <w:szCs w:val="20"/>
              </w:rPr>
              <w:t>s being prepared.</w:t>
            </w:r>
          </w:p>
          <w:p w14:paraId="158EE9A4" w14:textId="26A5EB9B" w:rsidR="00723F06" w:rsidRDefault="00723F06" w:rsidP="00644675">
            <w:pPr>
              <w:rPr>
                <w:rFonts w:ascii="Verdana" w:hAnsi="Verdana" w:cs="Arial"/>
                <w:sz w:val="20"/>
                <w:szCs w:val="20"/>
              </w:rPr>
            </w:pPr>
          </w:p>
          <w:p w14:paraId="464C6789" w14:textId="395A30B7" w:rsidR="00723F06" w:rsidRDefault="00723F06" w:rsidP="00644675">
            <w:pPr>
              <w:rPr>
                <w:rFonts w:ascii="Verdana" w:hAnsi="Verdana" w:cs="Arial"/>
                <w:sz w:val="20"/>
                <w:szCs w:val="20"/>
              </w:rPr>
            </w:pPr>
            <w:r>
              <w:rPr>
                <w:rFonts w:ascii="Verdana" w:hAnsi="Verdana" w:cs="Arial"/>
                <w:sz w:val="20"/>
                <w:szCs w:val="20"/>
              </w:rPr>
              <w:t xml:space="preserve">The Black Country Plan Preferred Options consultation document subject to consultation between August and October 2021 identified a housing requirement of 76,076 dwellings.  </w:t>
            </w:r>
            <w:r w:rsidR="00997B58">
              <w:rPr>
                <w:rFonts w:ascii="Verdana" w:hAnsi="Verdana" w:cs="Arial"/>
                <w:sz w:val="20"/>
                <w:szCs w:val="20"/>
              </w:rPr>
              <w:t>O</w:t>
            </w:r>
            <w:r>
              <w:rPr>
                <w:rFonts w:ascii="Verdana" w:hAnsi="Verdana" w:cs="Arial"/>
                <w:sz w:val="20"/>
                <w:szCs w:val="20"/>
              </w:rPr>
              <w:t>nly 47,837 dwellings could be accommodated within the Black Country administrative area</w:t>
            </w:r>
            <w:r w:rsidR="00997B58">
              <w:rPr>
                <w:rFonts w:ascii="Verdana" w:hAnsi="Verdana" w:cs="Arial"/>
                <w:sz w:val="20"/>
                <w:szCs w:val="20"/>
              </w:rPr>
              <w:t>,</w:t>
            </w:r>
            <w:r w:rsidR="00427EC4">
              <w:rPr>
                <w:rFonts w:ascii="Verdana" w:hAnsi="Verdana" w:cs="Arial"/>
                <w:sz w:val="20"/>
                <w:szCs w:val="20"/>
              </w:rPr>
              <w:t xml:space="preserve"> meaning </w:t>
            </w:r>
            <w:r>
              <w:rPr>
                <w:rFonts w:ascii="Verdana" w:hAnsi="Verdana" w:cs="Arial"/>
                <w:sz w:val="20"/>
                <w:szCs w:val="20"/>
              </w:rPr>
              <w:t xml:space="preserve">28,239 dwellings need to be delivered elsewhere within the </w:t>
            </w:r>
            <w:r w:rsidR="0056525A">
              <w:rPr>
                <w:rFonts w:ascii="Verdana" w:hAnsi="Verdana" w:cs="Arial"/>
                <w:sz w:val="20"/>
                <w:szCs w:val="20"/>
              </w:rPr>
              <w:t>SSHMA</w:t>
            </w:r>
            <w:r>
              <w:rPr>
                <w:rFonts w:ascii="Verdana" w:hAnsi="Verdana" w:cs="Arial"/>
                <w:sz w:val="20"/>
                <w:szCs w:val="20"/>
              </w:rPr>
              <w:t>.</w:t>
            </w:r>
          </w:p>
          <w:p w14:paraId="644694CC" w14:textId="02C74DEC" w:rsidR="00723F06" w:rsidRDefault="00723F06" w:rsidP="00644675">
            <w:pPr>
              <w:rPr>
                <w:rFonts w:ascii="Verdana" w:hAnsi="Verdana" w:cs="Arial"/>
                <w:sz w:val="20"/>
                <w:szCs w:val="20"/>
              </w:rPr>
            </w:pPr>
          </w:p>
          <w:p w14:paraId="33051B38" w14:textId="45F7FAD4" w:rsidR="00723F06" w:rsidRDefault="00427EC4" w:rsidP="00644675">
            <w:pPr>
              <w:rPr>
                <w:rFonts w:ascii="Verdana" w:hAnsi="Verdana" w:cs="Arial"/>
                <w:sz w:val="20"/>
                <w:szCs w:val="20"/>
              </w:rPr>
            </w:pPr>
            <w:r>
              <w:rPr>
                <w:rFonts w:ascii="Verdana" w:hAnsi="Verdana" w:cs="Arial"/>
                <w:sz w:val="20"/>
                <w:szCs w:val="20"/>
              </w:rPr>
              <w:t>Taking the most conservative approach, i</w:t>
            </w:r>
            <w:r w:rsidR="00723F06">
              <w:rPr>
                <w:rFonts w:ascii="Verdana" w:hAnsi="Verdana" w:cs="Arial"/>
                <w:sz w:val="20"/>
                <w:szCs w:val="20"/>
              </w:rPr>
              <w:t xml:space="preserve">f the housing shortfall figures identified in policy PG1 of the BDP and the emerging Black Country Plan Preferred Options document are </w:t>
            </w:r>
            <w:r w:rsidR="009952B2">
              <w:rPr>
                <w:rFonts w:ascii="Verdana" w:hAnsi="Verdana" w:cs="Arial"/>
                <w:sz w:val="20"/>
                <w:szCs w:val="20"/>
              </w:rPr>
              <w:t>added</w:t>
            </w:r>
            <w:r w:rsidR="00723F06">
              <w:rPr>
                <w:rFonts w:ascii="Verdana" w:hAnsi="Verdana" w:cs="Arial"/>
                <w:sz w:val="20"/>
                <w:szCs w:val="20"/>
              </w:rPr>
              <w:t xml:space="preserve"> together, there is a total housing shortfall of 66,139 dwellings.  This should be considered as an absolute minimum, given that the emerging Birmingham City housing shortfall is significantly greater than this combined figure.  The 4,000 dwellings proposed by South Staffordshire Local Plan to meet the growth requirements of the conurbation is approximately 6% of the </w:t>
            </w:r>
            <w:r w:rsidR="00466D9A">
              <w:rPr>
                <w:rFonts w:ascii="Verdana" w:hAnsi="Verdana" w:cs="Arial"/>
                <w:sz w:val="20"/>
                <w:szCs w:val="20"/>
              </w:rPr>
              <w:t>conservative</w:t>
            </w:r>
            <w:r w:rsidR="00723F06">
              <w:rPr>
                <w:rFonts w:ascii="Verdana" w:hAnsi="Verdana" w:cs="Arial"/>
                <w:sz w:val="20"/>
                <w:szCs w:val="20"/>
              </w:rPr>
              <w:t xml:space="preserve"> shortfall</w:t>
            </w:r>
            <w:r w:rsidR="00466D9A">
              <w:rPr>
                <w:rFonts w:ascii="Verdana" w:hAnsi="Verdana" w:cs="Arial"/>
                <w:sz w:val="20"/>
                <w:szCs w:val="20"/>
              </w:rPr>
              <w:t xml:space="preserve"> figure</w:t>
            </w:r>
            <w:r w:rsidR="00723F06">
              <w:rPr>
                <w:rFonts w:ascii="Verdana" w:hAnsi="Verdana" w:cs="Arial"/>
                <w:sz w:val="20"/>
                <w:szCs w:val="20"/>
              </w:rPr>
              <w:t>.</w:t>
            </w:r>
          </w:p>
          <w:p w14:paraId="37CC8EB9" w14:textId="3D8C20A8" w:rsidR="00723F06" w:rsidRDefault="00723F06" w:rsidP="00644675">
            <w:pPr>
              <w:rPr>
                <w:rFonts w:ascii="Verdana" w:hAnsi="Verdana" w:cs="Arial"/>
                <w:sz w:val="20"/>
                <w:szCs w:val="20"/>
              </w:rPr>
            </w:pPr>
          </w:p>
          <w:p w14:paraId="43CD9184" w14:textId="3C8B9C1E" w:rsidR="00723F06" w:rsidRDefault="00723F06" w:rsidP="00644675">
            <w:pPr>
              <w:rPr>
                <w:rFonts w:ascii="Verdana" w:hAnsi="Verdana" w:cs="Arial"/>
                <w:sz w:val="20"/>
                <w:szCs w:val="20"/>
              </w:rPr>
            </w:pPr>
            <w:r>
              <w:rPr>
                <w:rFonts w:ascii="Verdana" w:hAnsi="Verdana" w:cs="Arial"/>
                <w:sz w:val="20"/>
                <w:szCs w:val="20"/>
              </w:rPr>
              <w:t xml:space="preserve">There are 14 authority areas within the Birmingham and Black Country </w:t>
            </w:r>
            <w:r w:rsidR="0056525A">
              <w:rPr>
                <w:rFonts w:ascii="Verdana" w:hAnsi="Verdana" w:cs="Arial"/>
                <w:sz w:val="20"/>
                <w:szCs w:val="20"/>
              </w:rPr>
              <w:t>HMA</w:t>
            </w:r>
            <w:r>
              <w:rPr>
                <w:rFonts w:ascii="Verdana" w:hAnsi="Verdana" w:cs="Arial"/>
                <w:sz w:val="20"/>
                <w:szCs w:val="20"/>
              </w:rPr>
              <w:t>.  This includes Birmingham and the 4 Black Country authorities.  This means that the shortfall will need to be distributed between the remaining 9 authorities.</w:t>
            </w:r>
          </w:p>
          <w:p w14:paraId="782C8AAE" w14:textId="5FD11B56" w:rsidR="00723F06" w:rsidRDefault="00723F06" w:rsidP="00644675">
            <w:pPr>
              <w:rPr>
                <w:rFonts w:ascii="Verdana" w:hAnsi="Verdana" w:cs="Arial"/>
                <w:sz w:val="20"/>
                <w:szCs w:val="20"/>
              </w:rPr>
            </w:pPr>
          </w:p>
          <w:p w14:paraId="1C247D23" w14:textId="77777777" w:rsidR="00427EC4" w:rsidRDefault="00723F06" w:rsidP="00644675">
            <w:pPr>
              <w:rPr>
                <w:rFonts w:ascii="Verdana" w:hAnsi="Verdana" w:cs="Arial"/>
                <w:sz w:val="20"/>
                <w:szCs w:val="20"/>
              </w:rPr>
            </w:pPr>
            <w:r>
              <w:rPr>
                <w:rFonts w:ascii="Verdana" w:hAnsi="Verdana" w:cs="Arial"/>
                <w:sz w:val="20"/>
                <w:szCs w:val="20"/>
              </w:rPr>
              <w:t xml:space="preserve">Redditch </w:t>
            </w:r>
            <w:r w:rsidR="009952B2">
              <w:rPr>
                <w:rFonts w:ascii="Verdana" w:hAnsi="Verdana" w:cs="Arial"/>
                <w:sz w:val="20"/>
                <w:szCs w:val="20"/>
              </w:rPr>
              <w:t>B</w:t>
            </w:r>
            <w:r>
              <w:rPr>
                <w:rFonts w:ascii="Verdana" w:hAnsi="Verdana" w:cs="Arial"/>
                <w:sz w:val="20"/>
                <w:szCs w:val="20"/>
              </w:rPr>
              <w:t xml:space="preserve">orough is effectively built up to its boundary.  The adopted Redditch Local Plan relies upon Bromsgrove District to delivering approximately half of its housing requirement through urban extensions to support its growth.  </w:t>
            </w:r>
            <w:r w:rsidR="009952B2">
              <w:rPr>
                <w:rFonts w:ascii="Verdana" w:hAnsi="Verdana" w:cs="Arial"/>
                <w:sz w:val="20"/>
                <w:szCs w:val="20"/>
              </w:rPr>
              <w:t>A small</w:t>
            </w:r>
            <w:r>
              <w:rPr>
                <w:rFonts w:ascii="Verdana" w:hAnsi="Verdana" w:cs="Arial"/>
                <w:sz w:val="20"/>
                <w:szCs w:val="20"/>
              </w:rPr>
              <w:t xml:space="preserve"> part of Stratford-upon-Avon District falls within the </w:t>
            </w:r>
            <w:r w:rsidR="0056525A">
              <w:rPr>
                <w:rFonts w:ascii="Verdana" w:hAnsi="Verdana" w:cs="Arial"/>
                <w:sz w:val="20"/>
                <w:szCs w:val="20"/>
              </w:rPr>
              <w:t>SSHMA</w:t>
            </w:r>
            <w:r>
              <w:rPr>
                <w:rFonts w:ascii="Verdana" w:hAnsi="Verdana" w:cs="Arial"/>
                <w:sz w:val="20"/>
                <w:szCs w:val="20"/>
              </w:rPr>
              <w:t xml:space="preserve">, reducing development opportunities in Stratford-upon-Avon.  Cannock Chase’s capacity is restricted due to environmental constraints including the Cannock Chase SAC and AONB.  </w:t>
            </w:r>
            <w:r w:rsidR="00466D9A">
              <w:rPr>
                <w:rFonts w:ascii="Verdana" w:hAnsi="Verdana" w:cs="Arial"/>
                <w:sz w:val="20"/>
                <w:szCs w:val="20"/>
              </w:rPr>
              <w:t xml:space="preserve">This notwithstanding, </w:t>
            </w:r>
            <w:r>
              <w:rPr>
                <w:rFonts w:ascii="Verdana" w:hAnsi="Verdana" w:cs="Arial"/>
                <w:sz w:val="20"/>
                <w:szCs w:val="20"/>
              </w:rPr>
              <w:t xml:space="preserve">even if </w:t>
            </w:r>
            <w:r w:rsidR="00427EC4">
              <w:rPr>
                <w:rFonts w:ascii="Verdana" w:hAnsi="Verdana" w:cs="Arial"/>
                <w:sz w:val="20"/>
                <w:szCs w:val="20"/>
              </w:rPr>
              <w:t xml:space="preserve">is assumed all 9 authorities could assist in addressing the shortfall and it was distributed evening between then, </w:t>
            </w:r>
            <w:r>
              <w:rPr>
                <w:rFonts w:ascii="Verdana" w:hAnsi="Verdana" w:cs="Arial"/>
                <w:sz w:val="20"/>
                <w:szCs w:val="20"/>
              </w:rPr>
              <w:t xml:space="preserve">each authority </w:t>
            </w:r>
            <w:r w:rsidR="00427EC4">
              <w:rPr>
                <w:rFonts w:ascii="Verdana" w:hAnsi="Verdana" w:cs="Arial"/>
                <w:sz w:val="20"/>
                <w:szCs w:val="20"/>
              </w:rPr>
              <w:t xml:space="preserve">would need to </w:t>
            </w:r>
            <w:r>
              <w:rPr>
                <w:rFonts w:ascii="Verdana" w:hAnsi="Verdana" w:cs="Arial"/>
                <w:sz w:val="20"/>
                <w:szCs w:val="20"/>
              </w:rPr>
              <w:t>provid</w:t>
            </w:r>
            <w:r w:rsidR="00427EC4">
              <w:rPr>
                <w:rFonts w:ascii="Verdana" w:hAnsi="Verdana" w:cs="Arial"/>
                <w:sz w:val="20"/>
                <w:szCs w:val="20"/>
              </w:rPr>
              <w:t>e</w:t>
            </w:r>
            <w:r>
              <w:rPr>
                <w:rFonts w:ascii="Verdana" w:hAnsi="Verdana" w:cs="Arial"/>
                <w:sz w:val="20"/>
                <w:szCs w:val="20"/>
              </w:rPr>
              <w:t xml:space="preserve"> approximately 7,370 dwellings.  </w:t>
            </w:r>
          </w:p>
          <w:p w14:paraId="6982154B" w14:textId="77777777" w:rsidR="00427EC4" w:rsidRDefault="00427EC4" w:rsidP="00644675">
            <w:pPr>
              <w:rPr>
                <w:rFonts w:ascii="Verdana" w:hAnsi="Verdana" w:cs="Arial"/>
                <w:sz w:val="20"/>
                <w:szCs w:val="20"/>
              </w:rPr>
            </w:pPr>
          </w:p>
          <w:p w14:paraId="7412A242" w14:textId="3EE16F92" w:rsidR="00723F06" w:rsidRDefault="00723F06" w:rsidP="00644675">
            <w:pPr>
              <w:rPr>
                <w:rFonts w:ascii="Verdana" w:hAnsi="Verdana" w:cs="Arial"/>
                <w:sz w:val="20"/>
                <w:szCs w:val="20"/>
              </w:rPr>
            </w:pPr>
            <w:r>
              <w:rPr>
                <w:rFonts w:ascii="Verdana" w:hAnsi="Verdana" w:cs="Arial"/>
                <w:sz w:val="20"/>
                <w:szCs w:val="20"/>
              </w:rPr>
              <w:t>South Staffordshire, given its functional relationship to the Black Country</w:t>
            </w:r>
            <w:r w:rsidR="00466D9A">
              <w:rPr>
                <w:rFonts w:ascii="Verdana" w:hAnsi="Verdana" w:cs="Arial"/>
                <w:sz w:val="20"/>
                <w:szCs w:val="20"/>
              </w:rPr>
              <w:t xml:space="preserve"> and for the reasons previously mentioned</w:t>
            </w:r>
            <w:r>
              <w:rPr>
                <w:rFonts w:ascii="Verdana" w:hAnsi="Verdana" w:cs="Arial"/>
                <w:sz w:val="20"/>
                <w:szCs w:val="20"/>
              </w:rPr>
              <w:t>, should be accommodating a significantly greater amount of development than this</w:t>
            </w:r>
            <w:r w:rsidR="00466D9A">
              <w:rPr>
                <w:rFonts w:ascii="Verdana" w:hAnsi="Verdana" w:cs="Arial"/>
                <w:sz w:val="20"/>
                <w:szCs w:val="20"/>
              </w:rPr>
              <w:t xml:space="preserve"> </w:t>
            </w:r>
            <w:r>
              <w:rPr>
                <w:rFonts w:ascii="Verdana" w:hAnsi="Verdana" w:cs="Arial"/>
                <w:sz w:val="20"/>
                <w:szCs w:val="20"/>
              </w:rPr>
              <w:t>to support the growth requirements of the conurbation.</w:t>
            </w:r>
          </w:p>
          <w:p w14:paraId="07728DE7" w14:textId="77777777" w:rsidR="003D5369" w:rsidRPr="00785957" w:rsidRDefault="003D5369" w:rsidP="00644675">
            <w:pPr>
              <w:rPr>
                <w:rFonts w:ascii="Verdana" w:hAnsi="Verdana" w:cs="Arial"/>
                <w:sz w:val="20"/>
                <w:szCs w:val="20"/>
              </w:rPr>
            </w:pPr>
          </w:p>
          <w:p w14:paraId="249ED9FF"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0072ED96" w14:textId="77777777" w:rsidTr="009107B9">
        <w:trPr>
          <w:gridBefore w:val="1"/>
          <w:wBefore w:w="204" w:type="dxa"/>
          <w:trHeight w:val="180"/>
        </w:trPr>
        <w:tc>
          <w:tcPr>
            <w:tcW w:w="8568" w:type="dxa"/>
            <w:gridSpan w:val="23"/>
            <w:shd w:val="clear" w:color="auto" w:fill="auto"/>
            <w:noWrap/>
            <w:tcMar>
              <w:top w:w="0" w:type="dxa"/>
              <w:left w:w="108" w:type="dxa"/>
              <w:bottom w:w="0" w:type="dxa"/>
              <w:right w:w="108" w:type="dxa"/>
            </w:tcMar>
            <w:vAlign w:val="bottom"/>
          </w:tcPr>
          <w:p w14:paraId="78380661" w14:textId="77777777" w:rsidR="009107B9" w:rsidRDefault="009107B9" w:rsidP="00644675">
            <w:pPr>
              <w:rPr>
                <w:rFonts w:ascii="Verdana" w:hAnsi="Verdana" w:cs="Arial"/>
                <w:sz w:val="20"/>
              </w:rPr>
            </w:pPr>
          </w:p>
          <w:p w14:paraId="7A789ED9" w14:textId="1E9FEC46" w:rsidR="00AE2F13" w:rsidRDefault="00AE2F13" w:rsidP="00644675">
            <w:r>
              <w:rPr>
                <w:rFonts w:ascii="Verdana" w:hAnsi="Verdana" w:cs="Arial"/>
                <w:sz w:val="20"/>
              </w:rPr>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9107B9">
        <w:trPr>
          <w:gridBefore w:val="1"/>
          <w:wBefore w:w="204" w:type="dxa"/>
          <w:trHeight w:val="2078"/>
        </w:trPr>
        <w:tc>
          <w:tcPr>
            <w:tcW w:w="8568" w:type="dxa"/>
            <w:gridSpan w:val="2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411459E" w14:textId="77777777" w:rsidR="00AE2F13" w:rsidRPr="00785957" w:rsidRDefault="00AE2F13" w:rsidP="00644675">
            <w:pPr>
              <w:rPr>
                <w:rFonts w:ascii="Verdana" w:hAnsi="Verdana" w:cs="Arial"/>
                <w:sz w:val="20"/>
                <w:szCs w:val="20"/>
              </w:rPr>
            </w:pPr>
          </w:p>
          <w:p w14:paraId="773FE396" w14:textId="28276A43" w:rsidR="00AE2F13" w:rsidRDefault="00723F06" w:rsidP="00644675">
            <w:pPr>
              <w:rPr>
                <w:rFonts w:ascii="Verdana" w:hAnsi="Verdana" w:cs="Arial"/>
                <w:sz w:val="20"/>
                <w:szCs w:val="20"/>
              </w:rPr>
            </w:pPr>
            <w:r>
              <w:rPr>
                <w:rFonts w:ascii="Verdana" w:hAnsi="Verdana" w:cs="Arial"/>
                <w:sz w:val="20"/>
                <w:szCs w:val="20"/>
              </w:rPr>
              <w:t xml:space="preserve">The housing requirement in the Plan is not sound.  It should be increased significantly.  </w:t>
            </w:r>
            <w:r w:rsidR="00D84915">
              <w:rPr>
                <w:rFonts w:ascii="Verdana" w:hAnsi="Verdana" w:cs="Arial"/>
                <w:sz w:val="20"/>
                <w:szCs w:val="20"/>
              </w:rPr>
              <w:t xml:space="preserve">The South Staffordshire element of the housing requirement should be </w:t>
            </w:r>
            <w:r w:rsidR="00114321">
              <w:rPr>
                <w:rFonts w:ascii="Verdana" w:hAnsi="Verdana" w:cs="Arial"/>
                <w:sz w:val="20"/>
                <w:szCs w:val="20"/>
              </w:rPr>
              <w:t>based upon the Standard Method and increased to address affordable housing and economic growth requirement.  The 4,000 dwellings proposed to meet the growth requirements of the conurbation is woefully inadequate</w:t>
            </w:r>
            <w:r w:rsidR="00466D9A">
              <w:rPr>
                <w:rFonts w:ascii="Verdana" w:hAnsi="Verdana" w:cs="Arial"/>
                <w:sz w:val="20"/>
                <w:szCs w:val="20"/>
              </w:rPr>
              <w:t xml:space="preserve"> and needs to be increased significantly</w:t>
            </w:r>
            <w:r w:rsidR="00114321">
              <w:rPr>
                <w:rFonts w:ascii="Verdana" w:hAnsi="Verdana" w:cs="Arial"/>
                <w:sz w:val="20"/>
                <w:szCs w:val="20"/>
              </w:rPr>
              <w:t xml:space="preserve">.  </w:t>
            </w:r>
          </w:p>
          <w:p w14:paraId="640C4678" w14:textId="77777777" w:rsidR="00114321" w:rsidRPr="00785957" w:rsidRDefault="00114321" w:rsidP="00644675">
            <w:pPr>
              <w:rPr>
                <w:rFonts w:ascii="Verdana" w:hAnsi="Verdana" w:cs="Arial"/>
                <w:sz w:val="20"/>
                <w:szCs w:val="20"/>
              </w:rPr>
            </w:pPr>
          </w:p>
          <w:p w14:paraId="690ADA17" w14:textId="77777777" w:rsidR="00AE2F13" w:rsidRPr="00785957" w:rsidRDefault="00AE2F13" w:rsidP="00644675">
            <w:pPr>
              <w:rPr>
                <w:rFonts w:ascii="Verdana" w:hAnsi="Verdana" w:cs="Arial"/>
                <w:sz w:val="20"/>
                <w:szCs w:val="20"/>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9107B9">
        <w:trPr>
          <w:gridBefore w:val="1"/>
          <w:wBefore w:w="204" w:type="dxa"/>
          <w:cantSplit/>
          <w:trHeight w:val="57"/>
        </w:trPr>
        <w:tc>
          <w:tcPr>
            <w:tcW w:w="8568" w:type="dxa"/>
            <w:gridSpan w:val="23"/>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AF8551A" w:rsidR="00AE2F13" w:rsidRDefault="00AE2F13" w:rsidP="00644675">
            <w:pPr>
              <w:autoSpaceDE w:val="0"/>
            </w:pPr>
            <w:r>
              <w:rPr>
                <w:rFonts w:ascii="Verdana" w:hAnsi="Verdana" w:cs="Arial"/>
                <w:b/>
                <w:i/>
                <w:iCs/>
                <w:color w:val="000000"/>
                <w:sz w:val="20"/>
              </w:rPr>
              <w:t>Please note</w:t>
            </w:r>
            <w:r w:rsidR="006E4EE9">
              <w:rPr>
                <w:rFonts w:ascii="Verdana" w:hAnsi="Verdana" w:cs="Arial"/>
                <w:b/>
                <w:i/>
                <w:iCs/>
                <w:color w:val="000000"/>
                <w:sz w:val="20"/>
              </w:rPr>
              <w:t>:</w:t>
            </w:r>
            <w:r>
              <w:rPr>
                <w:rFonts w:ascii="Verdana" w:hAnsi="Verdana" w:cs="Arial"/>
                <w:i/>
                <w:iCs/>
                <w:color w:val="000000"/>
                <w:sz w:val="20"/>
              </w:rPr>
              <w:t xml:space="preserve">  In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9107B9">
        <w:trPr>
          <w:gridBefore w:val="1"/>
          <w:wBefore w:w="204" w:type="dxa"/>
          <w:cantSplit/>
          <w:trHeight w:val="540"/>
        </w:trPr>
        <w:tc>
          <w:tcPr>
            <w:tcW w:w="8568" w:type="dxa"/>
            <w:gridSpan w:val="23"/>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9107B9">
        <w:trPr>
          <w:gridBefore w:val="1"/>
          <w:wBefore w:w="204" w:type="dxa"/>
          <w:cantSplit/>
          <w:trHeight w:val="120"/>
        </w:trPr>
        <w:tc>
          <w:tcPr>
            <w:tcW w:w="8568" w:type="dxa"/>
            <w:gridSpan w:val="23"/>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9107B9">
        <w:trPr>
          <w:gridBefore w:val="1"/>
          <w:wBefore w:w="204" w:type="dxa"/>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785957">
            <w:pPr>
              <w:jc w:val="center"/>
              <w:rPr>
                <w:rFonts w:ascii="Verdana" w:hAnsi="Verdana" w:cs="Arial"/>
                <w:sz w:val="20"/>
              </w:rPr>
            </w:pPr>
          </w:p>
        </w:tc>
        <w:tc>
          <w:tcPr>
            <w:tcW w:w="3780" w:type="dxa"/>
            <w:gridSpan w:val="11"/>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24BAB38" w:rsidR="00AE2F13" w:rsidRDefault="00114321" w:rsidP="00785957">
            <w:pPr>
              <w:jc w:val="center"/>
              <w:rPr>
                <w:rFonts w:ascii="Verdana" w:hAnsi="Verdana" w:cs="Arial"/>
                <w:sz w:val="20"/>
              </w:rPr>
            </w:pPr>
            <w:r>
              <w:rPr>
                <w:rFonts w:ascii="Verdana" w:hAnsi="Verdana" w:cs="Arial"/>
                <w:sz w:val="32"/>
                <w:szCs w:val="40"/>
              </w:rPr>
              <w:sym w:font="Wingdings" w:char="F0FC"/>
            </w:r>
          </w:p>
        </w:tc>
        <w:tc>
          <w:tcPr>
            <w:tcW w:w="2486" w:type="dxa"/>
            <w:gridSpan w:val="5"/>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9107B9">
        <w:trPr>
          <w:gridBefore w:val="1"/>
          <w:wBefore w:w="204" w:type="dxa"/>
          <w:cantSplit/>
          <w:trHeight w:val="60"/>
        </w:trPr>
        <w:tc>
          <w:tcPr>
            <w:tcW w:w="8568" w:type="dxa"/>
            <w:gridSpan w:val="23"/>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1860B421" w14:textId="77777777" w:rsidR="00AE2F13" w:rsidRDefault="00AE2F13" w:rsidP="00644675">
            <w:pPr>
              <w:rPr>
                <w:rFonts w:ascii="Verdana" w:hAnsi="Verdana" w:cs="Arial"/>
                <w:sz w:val="20"/>
              </w:rPr>
            </w:pPr>
          </w:p>
          <w:p w14:paraId="50EB05DE" w14:textId="77777777" w:rsidR="00AE2F13" w:rsidRDefault="00AE2F13" w:rsidP="00644675">
            <w:pPr>
              <w:rPr>
                <w:rFonts w:ascii="Verdana" w:hAnsi="Verdana" w:cs="Arial"/>
                <w:sz w:val="20"/>
              </w:rPr>
            </w:pPr>
          </w:p>
        </w:tc>
      </w:tr>
      <w:tr w:rsidR="00AE2F13" w14:paraId="4CEF5931" w14:textId="77777777" w:rsidTr="009107B9">
        <w:trPr>
          <w:gridBefore w:val="1"/>
          <w:wBefore w:w="204" w:type="dxa"/>
          <w:cantSplit/>
          <w:trHeight w:val="300"/>
        </w:trPr>
        <w:tc>
          <w:tcPr>
            <w:tcW w:w="8568" w:type="dxa"/>
            <w:gridSpan w:val="23"/>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9107B9">
        <w:trPr>
          <w:gridBefore w:val="1"/>
          <w:wBefore w:w="204" w:type="dxa"/>
          <w:cantSplit/>
          <w:trHeight w:val="57"/>
        </w:trPr>
        <w:tc>
          <w:tcPr>
            <w:tcW w:w="8568" w:type="dxa"/>
            <w:gridSpan w:val="23"/>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9107B9">
        <w:trPr>
          <w:gridBefore w:val="1"/>
          <w:wBefore w:w="204" w:type="dxa"/>
          <w:cantSplit/>
          <w:trHeight w:val="180"/>
        </w:trPr>
        <w:tc>
          <w:tcPr>
            <w:tcW w:w="8568" w:type="dxa"/>
            <w:gridSpan w:val="23"/>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9A80DA2" w14:textId="77777777" w:rsidR="00AE2F13" w:rsidRDefault="00AE2F13" w:rsidP="00644675">
            <w:pPr>
              <w:rPr>
                <w:rFonts w:ascii="Verdana" w:hAnsi="Verdana" w:cs="Arial"/>
                <w:sz w:val="20"/>
              </w:rPr>
            </w:pPr>
          </w:p>
          <w:p w14:paraId="7C581AE6" w14:textId="669416CE" w:rsidR="00AE2F13" w:rsidRDefault="00114321" w:rsidP="00644675">
            <w:pPr>
              <w:rPr>
                <w:rFonts w:ascii="Verdana" w:hAnsi="Verdana" w:cs="Arial"/>
                <w:sz w:val="20"/>
              </w:rPr>
            </w:pPr>
            <w:r>
              <w:rPr>
                <w:rFonts w:ascii="Verdana" w:hAnsi="Verdana" w:cs="Arial"/>
                <w:sz w:val="20"/>
              </w:rPr>
              <w:t xml:space="preserve">The emerging plan will fail to deliver enough housing to meet the growth requirements of South Staffordshire, including the full housing requirement and the growth requirements of the conurbation.  One of the fundamental roles of the plan is to deliver </w:t>
            </w:r>
            <w:r w:rsidR="00427EC4">
              <w:rPr>
                <w:rFonts w:ascii="Verdana" w:hAnsi="Verdana" w:cs="Arial"/>
                <w:sz w:val="20"/>
              </w:rPr>
              <w:t>enough</w:t>
            </w:r>
            <w:r>
              <w:rPr>
                <w:rFonts w:ascii="Verdana" w:hAnsi="Verdana" w:cs="Arial"/>
                <w:sz w:val="20"/>
              </w:rPr>
              <w:t xml:space="preserve"> </w:t>
            </w:r>
            <w:r w:rsidR="00DD5684">
              <w:rPr>
                <w:rFonts w:ascii="Verdana" w:hAnsi="Verdana" w:cs="Arial"/>
                <w:sz w:val="20"/>
              </w:rPr>
              <w:t>dwellings</w:t>
            </w:r>
            <w:r>
              <w:rPr>
                <w:rFonts w:ascii="Verdana" w:hAnsi="Verdana" w:cs="Arial"/>
                <w:sz w:val="20"/>
              </w:rPr>
              <w:t xml:space="preserve"> to support housing needs.  The plan fails to do so.  Given the magnitude of this issue, we request the opportunity to address the Inspector to outline our concerns.</w:t>
            </w:r>
          </w:p>
          <w:p w14:paraId="5F1FCC5B" w14:textId="1BED5EBC" w:rsidR="00785957" w:rsidRDefault="00785957" w:rsidP="00644675">
            <w:pPr>
              <w:rPr>
                <w:rFonts w:ascii="Verdana" w:hAnsi="Verdana" w:cs="Arial"/>
                <w:sz w:val="20"/>
              </w:rPr>
            </w:pPr>
          </w:p>
        </w:tc>
      </w:tr>
      <w:tr w:rsidR="00AE2F13" w14:paraId="1939ADC6" w14:textId="77777777" w:rsidTr="009107B9">
        <w:trPr>
          <w:gridBefore w:val="1"/>
          <w:wBefore w:w="204" w:type="dxa"/>
          <w:cantSplit/>
          <w:trHeight w:val="300"/>
        </w:trPr>
        <w:tc>
          <w:tcPr>
            <w:tcW w:w="8568" w:type="dxa"/>
            <w:gridSpan w:val="23"/>
            <w:vMerge w:val="restart"/>
            <w:shd w:val="clear" w:color="auto" w:fill="auto"/>
            <w:tcMar>
              <w:top w:w="0" w:type="dxa"/>
              <w:left w:w="108" w:type="dxa"/>
              <w:bottom w:w="0" w:type="dxa"/>
              <w:right w:w="108" w:type="dxa"/>
            </w:tcMar>
            <w:vAlign w:val="center"/>
          </w:tcPr>
          <w:p w14:paraId="64255807" w14:textId="77777777" w:rsidR="009107B9" w:rsidRDefault="009107B9" w:rsidP="00644675">
            <w:pPr>
              <w:rPr>
                <w:rFonts w:ascii="Verdana" w:hAnsi="Verdana" w:cs="Arial"/>
                <w:b/>
                <w:i/>
                <w:sz w:val="20"/>
              </w:rPr>
            </w:pPr>
          </w:p>
          <w:p w14:paraId="60250741" w14:textId="77777777" w:rsidR="009107B9" w:rsidRDefault="009107B9" w:rsidP="00644675">
            <w:pPr>
              <w:rPr>
                <w:rFonts w:ascii="Verdana" w:hAnsi="Verdana" w:cs="Arial"/>
                <w:b/>
                <w:i/>
                <w:sz w:val="20"/>
              </w:rPr>
            </w:pPr>
          </w:p>
          <w:p w14:paraId="4019FD9B" w14:textId="5DA937E2" w:rsidR="00AE2F13" w:rsidRDefault="009107B9" w:rsidP="00644675">
            <w:r>
              <w:rPr>
                <w:rFonts w:ascii="Verdana" w:hAnsi="Verdana" w:cs="Arial"/>
                <w:b/>
                <w:i/>
                <w:sz w:val="20"/>
              </w:rPr>
              <w:t>P</w:t>
            </w:r>
            <w:r w:rsidR="00AE2F13">
              <w:rPr>
                <w:rFonts w:ascii="Verdana" w:hAnsi="Verdana" w:cs="Arial"/>
                <w:b/>
                <w:i/>
                <w:sz w:val="20"/>
              </w:rPr>
              <w:t>lease note</w:t>
            </w:r>
            <w:r w:rsidR="00AE2F13">
              <w:rPr>
                <w:rFonts w:ascii="Verdana" w:hAnsi="Verdana" w:cs="Arial"/>
                <w:i/>
                <w:sz w:val="20"/>
              </w:rPr>
              <w:t xml:space="preserve"> the Inspector will determine the most appropriate procedure to </w:t>
            </w:r>
            <w:r>
              <w:rPr>
                <w:rFonts w:ascii="Verdana" w:hAnsi="Verdana" w:cs="Arial"/>
                <w:i/>
                <w:sz w:val="20"/>
              </w:rPr>
              <w:t>a</w:t>
            </w:r>
            <w:r w:rsidR="00AE2F13">
              <w:rPr>
                <w:rFonts w:ascii="Verdana" w:hAnsi="Verdana" w:cs="Arial"/>
                <w:i/>
                <w:sz w:val="20"/>
              </w:rPr>
              <w:t xml:space="preserve">dopt to hear those who have indicated that they wish to participate in </w:t>
            </w:r>
          </w:p>
          <w:p w14:paraId="64D224ED"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p w14:paraId="5461E781" w14:textId="77777777" w:rsidR="006E4EE9" w:rsidRDefault="006E4EE9" w:rsidP="00644675">
            <w:pPr>
              <w:rPr>
                <w:rFonts w:ascii="Verdana" w:hAnsi="Verdana" w:cs="Arial"/>
                <w:i/>
                <w:sz w:val="20"/>
              </w:rPr>
            </w:pPr>
          </w:p>
          <w:p w14:paraId="6860D519" w14:textId="65DBFFB0" w:rsidR="008C307D" w:rsidRPr="008C307D" w:rsidRDefault="008C307D" w:rsidP="008C307D">
            <w:pPr>
              <w:rPr>
                <w:rFonts w:ascii="Verdana" w:hAnsi="Verdana"/>
                <w:b/>
                <w:sz w:val="20"/>
                <w:szCs w:val="20"/>
              </w:rPr>
            </w:pPr>
            <w:r w:rsidRPr="008C307D">
              <w:rPr>
                <w:rFonts w:ascii="Verdana" w:hAnsi="Verdana"/>
                <w:b/>
                <w:sz w:val="20"/>
                <w:szCs w:val="20"/>
              </w:rPr>
              <w:t>Representations cannot be kept confidential and will be available for public scrutiny, including your name and/or organisation (if applicable).  However, your contact details will not be published.</w:t>
            </w:r>
          </w:p>
          <w:p w14:paraId="4022FC66" w14:textId="3F546574" w:rsidR="006E4EE9" w:rsidRPr="006E4EE9" w:rsidRDefault="006E4EE9" w:rsidP="00644675">
            <w:pPr>
              <w:rPr>
                <w:rFonts w:ascii="Verdana" w:hAnsi="Verdana" w:cs="Arial"/>
                <w:iCs/>
                <w:sz w:val="20"/>
              </w:rPr>
            </w:pPr>
          </w:p>
        </w:tc>
      </w:tr>
    </w:tbl>
    <w:p w14:paraId="4A9305CE" w14:textId="77777777" w:rsidR="006E4EE9" w:rsidRPr="008C307D" w:rsidRDefault="006E4EE9" w:rsidP="006E4EE9">
      <w:pPr>
        <w:ind w:left="142"/>
        <w:rPr>
          <w:rFonts w:ascii="Verdana" w:hAnsi="Verdana"/>
          <w:b/>
          <w:sz w:val="20"/>
          <w:szCs w:val="20"/>
        </w:rPr>
      </w:pPr>
      <w:r w:rsidRPr="008C307D">
        <w:rPr>
          <w:rFonts w:ascii="Verdana" w:hAnsi="Verdana"/>
          <w:b/>
          <w:sz w:val="20"/>
          <w:szCs w:val="20"/>
        </w:rPr>
        <w:t>Data Protection</w:t>
      </w:r>
    </w:p>
    <w:p w14:paraId="05529F42" w14:textId="77777777" w:rsidR="006E4EE9" w:rsidRPr="008C307D" w:rsidRDefault="006E4EE9" w:rsidP="006E4EE9">
      <w:pPr>
        <w:ind w:left="142"/>
        <w:rPr>
          <w:rFonts w:ascii="Verdana" w:hAnsi="Verdana"/>
          <w:sz w:val="20"/>
          <w:szCs w:val="20"/>
        </w:rPr>
      </w:pPr>
      <w:r w:rsidRPr="008C307D">
        <w:rPr>
          <w:rFonts w:ascii="Verdana" w:hAnsi="Verdana"/>
          <w:sz w:val="20"/>
          <w:szCs w:val="20"/>
        </w:rPr>
        <w:t xml:space="preserve">Your details will be added to our Local Plans Consultation database so that we can contact you as the review progresses.  South Staffordshire Council will process your personal data in accordance with the Data Protection Act 2018 and the General Data Protection Regulations (GDPR). Our Privacy Notice can be viewed at </w:t>
      </w:r>
      <w:hyperlink r:id="rId8" w:history="1">
        <w:r w:rsidRPr="008C307D">
          <w:rPr>
            <w:rStyle w:val="Hyperlink"/>
            <w:rFonts w:ascii="Verdana" w:hAnsi="Verdana"/>
            <w:sz w:val="20"/>
            <w:szCs w:val="20"/>
          </w:rPr>
          <w:t>https://www.sstaffs.gov.uk/planning/strategic-planning--data-</w:t>
        </w:r>
        <w:proofErr w:type="spellStart"/>
        <w:r w:rsidRPr="008C307D">
          <w:rPr>
            <w:rStyle w:val="Hyperlink"/>
            <w:rFonts w:ascii="Verdana" w:hAnsi="Verdana"/>
            <w:sz w:val="20"/>
            <w:szCs w:val="20"/>
          </w:rPr>
          <w:t>protection.cfm</w:t>
        </w:r>
        <w:proofErr w:type="spellEnd"/>
      </w:hyperlink>
      <w:r w:rsidRPr="008C307D">
        <w:rPr>
          <w:rFonts w:ascii="Verdana" w:hAnsi="Verdana"/>
          <w:sz w:val="20"/>
          <w:szCs w:val="20"/>
        </w:rPr>
        <w:t xml:space="preserve"> </w:t>
      </w:r>
    </w:p>
    <w:p w14:paraId="44B4E477" w14:textId="1871A373" w:rsidR="0008110A" w:rsidRDefault="0008110A"/>
    <w:p w14:paraId="74BA20E0" w14:textId="4DDFAA52" w:rsidR="008C307D" w:rsidRPr="008C307D" w:rsidRDefault="00A951E1">
      <w:pPr>
        <w:rPr>
          <w:rFonts w:asciiTheme="majorHAnsi" w:hAnsiTheme="majorHAnsi"/>
          <w:b/>
        </w:rPr>
      </w:pPr>
      <w:r>
        <w:rPr>
          <w:rFonts w:asciiTheme="majorHAnsi" w:hAnsiTheme="majorHAnsi"/>
          <w:b/>
        </w:rPr>
        <w:t xml:space="preserve">Please return the form via email to </w:t>
      </w:r>
      <w:hyperlink r:id="rId9" w:history="1">
        <w:r w:rsidRPr="000F5394">
          <w:rPr>
            <w:rStyle w:val="Hyperlink"/>
            <w:rFonts w:asciiTheme="majorHAnsi" w:hAnsiTheme="majorHAnsi"/>
            <w:b/>
          </w:rPr>
          <w:t>localplans@sstaffs.gov.uk</w:t>
        </w:r>
      </w:hyperlink>
      <w:r>
        <w:rPr>
          <w:rFonts w:asciiTheme="majorHAnsi" w:hAnsiTheme="majorHAnsi"/>
          <w:b/>
        </w:rPr>
        <w:t xml:space="preserve"> or by post to South Staffordshire Council, Community Hub, Wolverhampton Road, </w:t>
      </w:r>
      <w:proofErr w:type="spellStart"/>
      <w:r>
        <w:rPr>
          <w:rFonts w:asciiTheme="majorHAnsi" w:hAnsiTheme="majorHAnsi"/>
          <w:b/>
        </w:rPr>
        <w:t>Codsall</w:t>
      </w:r>
      <w:proofErr w:type="spellEnd"/>
      <w:r>
        <w:rPr>
          <w:rFonts w:asciiTheme="majorHAnsi" w:hAnsiTheme="majorHAnsi"/>
          <w:b/>
        </w:rPr>
        <w:t>, South Staffordshire WV8 1PX</w:t>
      </w:r>
    </w:p>
    <w:sectPr w:rsidR="008C307D" w:rsidRPr="008C307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AA7E" w14:textId="77777777" w:rsidR="00187168" w:rsidRDefault="00187168" w:rsidP="00187168">
      <w:r>
        <w:separator/>
      </w:r>
    </w:p>
  </w:endnote>
  <w:endnote w:type="continuationSeparator" w:id="0">
    <w:p w14:paraId="5D6EE16F" w14:textId="77777777" w:rsidR="00187168" w:rsidRDefault="00187168" w:rsidP="00187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B8661" w14:textId="77777777" w:rsidR="00187168" w:rsidRDefault="00187168" w:rsidP="00187168">
      <w:r>
        <w:separator/>
      </w:r>
    </w:p>
  </w:footnote>
  <w:footnote w:type="continuationSeparator" w:id="0">
    <w:p w14:paraId="5B7F53B3" w14:textId="77777777" w:rsidR="00187168" w:rsidRDefault="00187168" w:rsidP="00187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2B72" w14:textId="107701E9" w:rsidR="00187168" w:rsidRDefault="00187168">
    <w:pPr>
      <w:pStyle w:val="Header"/>
    </w:pPr>
    <w:r>
      <w:rPr>
        <w:noProof/>
      </w:rPr>
      <w:drawing>
        <wp:inline distT="0" distB="0" distL="0" distR="0" wp14:anchorId="4090EFA8" wp14:editId="4AE40879">
          <wp:extent cx="3225805" cy="564515"/>
          <wp:effectExtent l="0" t="0" r="0" b="6985"/>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280018" cy="5740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11F0D"/>
    <w:multiLevelType w:val="hybridMultilevel"/>
    <w:tmpl w:val="C70E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951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F13"/>
    <w:rsid w:val="00056CB6"/>
    <w:rsid w:val="0008110A"/>
    <w:rsid w:val="000E630D"/>
    <w:rsid w:val="000E665C"/>
    <w:rsid w:val="00114321"/>
    <w:rsid w:val="00127BAE"/>
    <w:rsid w:val="00187168"/>
    <w:rsid w:val="001B02FA"/>
    <w:rsid w:val="001C54C6"/>
    <w:rsid w:val="00254B59"/>
    <w:rsid w:val="002C1859"/>
    <w:rsid w:val="00314A82"/>
    <w:rsid w:val="0034447A"/>
    <w:rsid w:val="003D5369"/>
    <w:rsid w:val="00427EC4"/>
    <w:rsid w:val="00466D9A"/>
    <w:rsid w:val="0056525A"/>
    <w:rsid w:val="00601EB8"/>
    <w:rsid w:val="00684C75"/>
    <w:rsid w:val="00691BFB"/>
    <w:rsid w:val="006C4ACF"/>
    <w:rsid w:val="006C4B24"/>
    <w:rsid w:val="006E4EE9"/>
    <w:rsid w:val="00706F4C"/>
    <w:rsid w:val="00723F06"/>
    <w:rsid w:val="007537D3"/>
    <w:rsid w:val="00785957"/>
    <w:rsid w:val="007920C1"/>
    <w:rsid w:val="00852CB9"/>
    <w:rsid w:val="008C307D"/>
    <w:rsid w:val="00904AD2"/>
    <w:rsid w:val="009107B9"/>
    <w:rsid w:val="00961E14"/>
    <w:rsid w:val="009952B2"/>
    <w:rsid w:val="00997B58"/>
    <w:rsid w:val="00A058CF"/>
    <w:rsid w:val="00A13BCD"/>
    <w:rsid w:val="00A951E1"/>
    <w:rsid w:val="00AB0708"/>
    <w:rsid w:val="00AE2F13"/>
    <w:rsid w:val="00C47FD8"/>
    <w:rsid w:val="00C96CB2"/>
    <w:rsid w:val="00D43844"/>
    <w:rsid w:val="00D83210"/>
    <w:rsid w:val="00D84915"/>
    <w:rsid w:val="00DD5684"/>
    <w:rsid w:val="00E15E93"/>
    <w:rsid w:val="00E30A9E"/>
    <w:rsid w:val="00F3197C"/>
    <w:rsid w:val="00F55E6A"/>
    <w:rsid w:val="00F676D1"/>
    <w:rsid w:val="00FD53BB"/>
    <w:rsid w:val="00FE0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6E4EE9"/>
    <w:rPr>
      <w:color w:val="0563C1" w:themeColor="hyperlink"/>
      <w:u w:val="single"/>
    </w:rPr>
  </w:style>
  <w:style w:type="character" w:styleId="FollowedHyperlink">
    <w:name w:val="FollowedHyperlink"/>
    <w:basedOn w:val="DefaultParagraphFont"/>
    <w:uiPriority w:val="99"/>
    <w:semiHidden/>
    <w:unhideWhenUsed/>
    <w:rsid w:val="006E4EE9"/>
    <w:rPr>
      <w:color w:val="954F72" w:themeColor="followedHyperlink"/>
      <w:u w:val="single"/>
    </w:rPr>
  </w:style>
  <w:style w:type="paragraph" w:styleId="Header">
    <w:name w:val="header"/>
    <w:basedOn w:val="Normal"/>
    <w:link w:val="HeaderChar"/>
    <w:uiPriority w:val="99"/>
    <w:unhideWhenUsed/>
    <w:rsid w:val="00187168"/>
    <w:pPr>
      <w:tabs>
        <w:tab w:val="center" w:pos="4513"/>
        <w:tab w:val="right" w:pos="9026"/>
      </w:tabs>
    </w:pPr>
  </w:style>
  <w:style w:type="character" w:customStyle="1" w:styleId="HeaderChar">
    <w:name w:val="Header Char"/>
    <w:basedOn w:val="DefaultParagraphFont"/>
    <w:link w:val="Header"/>
    <w:uiPriority w:val="99"/>
    <w:rsid w:val="001871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87168"/>
    <w:pPr>
      <w:tabs>
        <w:tab w:val="center" w:pos="4513"/>
        <w:tab w:val="right" w:pos="9026"/>
      </w:tabs>
    </w:pPr>
  </w:style>
  <w:style w:type="character" w:customStyle="1" w:styleId="FooterChar">
    <w:name w:val="Footer Char"/>
    <w:basedOn w:val="DefaultParagraphFont"/>
    <w:link w:val="Footer"/>
    <w:uiPriority w:val="99"/>
    <w:rsid w:val="00187168"/>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951E1"/>
    <w:rPr>
      <w:color w:val="605E5C"/>
      <w:shd w:val="clear" w:color="auto" w:fill="E1DFDD"/>
    </w:rPr>
  </w:style>
  <w:style w:type="paragraph" w:styleId="ListParagraph">
    <w:name w:val="List Paragraph"/>
    <w:basedOn w:val="Normal"/>
    <w:uiPriority w:val="34"/>
    <w:qFormat/>
    <w:rsid w:val="000E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affs.gov.uk/planning/strategic-planning--data-protection.cf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ocalplans@sstaff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3248</Words>
  <Characters>18517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Sam Silcocks</cp:lastModifiedBy>
  <cp:revision>3</cp:revision>
  <dcterms:created xsi:type="dcterms:W3CDTF">2022-12-19T20:37:00Z</dcterms:created>
  <dcterms:modified xsi:type="dcterms:W3CDTF">2022-12-19T22:38:00Z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0afe4-5033-444c-989d-2b4805ede9ec_Enabled">
    <vt:lpwstr>true</vt:lpwstr>
  </property>
  <property fmtid="{D5CDD505-2E9C-101B-9397-08002B2CF9AE}" pid="3" name="MSIP_Label_7080afe4-5033-444c-989d-2b4805ede9ec_SetDate">
    <vt:lpwstr>2022-10-12T14:12:40Z</vt:lpwstr>
  </property>
  <property fmtid="{D5CDD505-2E9C-101B-9397-08002B2CF9AE}" pid="4" name="MSIP_Label_7080afe4-5033-444c-989d-2b4805ede9ec_Method">
    <vt:lpwstr>Standard</vt:lpwstr>
  </property>
  <property fmtid="{D5CDD505-2E9C-101B-9397-08002B2CF9AE}" pid="5" name="MSIP_Label_7080afe4-5033-444c-989d-2b4805ede9ec_Name">
    <vt:lpwstr>Official-Internal</vt:lpwstr>
  </property>
  <property fmtid="{D5CDD505-2E9C-101B-9397-08002B2CF9AE}" pid="6" name="MSIP_Label_7080afe4-5033-444c-989d-2b4805ede9ec_SiteId">
    <vt:lpwstr>2546b590-d34e-4804-b3b2-be77e9819b56</vt:lpwstr>
  </property>
  <property fmtid="{D5CDD505-2E9C-101B-9397-08002B2CF9AE}" pid="7" name="MSIP_Label_7080afe4-5033-444c-989d-2b4805ede9ec_ActionId">
    <vt:lpwstr>05af865d-dfe2-4556-ad86-e8d763ccf7f0</vt:lpwstr>
  </property>
  <property fmtid="{D5CDD505-2E9C-101B-9397-08002B2CF9AE}" pid="8" name="MSIP_Label_7080afe4-5033-444c-989d-2b4805ede9ec_ContentBits">
    <vt:lpwstr>0</vt:lpwstr>
  </property>
</Properties>
</file>