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14833"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3"/>
        <w:gridCol w:w="214"/>
        <w:gridCol w:w="409"/>
        <w:gridCol w:w="220"/>
        <w:gridCol w:w="486"/>
        <w:gridCol w:w="291"/>
        <w:gridCol w:w="1085"/>
        <w:gridCol w:w="3028"/>
        <w:gridCol w:w="3028"/>
      </w:tblGrid>
      <w:tr w:rsidR="00AE2F13" w14:paraId="3B322576" w14:textId="77777777" w:rsidTr="004D29D8">
        <w:trPr>
          <w:gridAfter w:val="2"/>
          <w:wAfter w:w="6056" w:type="dxa"/>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4D29D8">
        <w:trPr>
          <w:gridAfter w:val="2"/>
          <w:wAfter w:w="6056" w:type="dxa"/>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4D29D8">
        <w:trPr>
          <w:gridAfter w:val="2"/>
          <w:wAfter w:w="6056" w:type="dxa"/>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4D29D8">
        <w:trPr>
          <w:gridAfter w:val="2"/>
          <w:wAfter w:w="6056" w:type="dxa"/>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4D29D8">
        <w:trPr>
          <w:gridAfter w:val="2"/>
          <w:wAfter w:w="6056" w:type="dxa"/>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14D9B514"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FD20E7">
              <w:rPr>
                <w:rFonts w:ascii="Verdana" w:hAnsi="Verdana" w:cs="Arial"/>
                <w:b/>
                <w:bCs/>
                <w:sz w:val="20"/>
              </w:rPr>
              <w:t>23</w:t>
            </w:r>
            <w:r w:rsidRPr="006E4EE9">
              <w:rPr>
                <w:rFonts w:ascii="Verdana" w:hAnsi="Verdana" w:cs="Arial"/>
                <w:b/>
                <w:bCs/>
                <w:sz w:val="20"/>
              </w:rPr>
              <w:t xml:space="preserve"> - 20</w:t>
            </w:r>
            <w:r w:rsidR="00FD20E7">
              <w:rPr>
                <w:rFonts w:ascii="Verdana" w:hAnsi="Verdana" w:cs="Arial"/>
                <w:b/>
                <w:bCs/>
                <w:sz w:val="20"/>
              </w:rPr>
              <w:t>41</w:t>
            </w:r>
          </w:p>
        </w:tc>
      </w:tr>
      <w:tr w:rsidR="00AE2F13" w14:paraId="0AD1395A" w14:textId="77777777" w:rsidTr="004D29D8">
        <w:trPr>
          <w:gridAfter w:val="2"/>
          <w:wAfter w:w="6056" w:type="dxa"/>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6750A6E4"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noon</w:t>
            </w:r>
            <w:r w:rsidR="006E4EE9" w:rsidRPr="006E4EE9">
              <w:rPr>
                <w:rFonts w:ascii="Verdana" w:hAnsi="Verdana" w:cs="Arial"/>
                <w:b/>
                <w:bCs/>
                <w:sz w:val="18"/>
                <w:szCs w:val="18"/>
              </w:rPr>
              <w:t xml:space="preserve"> Friday 3</w:t>
            </w:r>
            <w:r w:rsidR="00FD20E7">
              <w:rPr>
                <w:rFonts w:ascii="Verdana" w:hAnsi="Verdana" w:cs="Arial"/>
                <w:b/>
                <w:bCs/>
                <w:sz w:val="18"/>
                <w:szCs w:val="18"/>
              </w:rPr>
              <w:t>1</w:t>
            </w:r>
            <w:r w:rsidR="006E4EE9" w:rsidRPr="006E4EE9">
              <w:rPr>
                <w:rFonts w:ascii="Verdana" w:hAnsi="Verdana" w:cs="Arial"/>
                <w:b/>
                <w:bCs/>
                <w:sz w:val="18"/>
                <w:szCs w:val="18"/>
              </w:rPr>
              <w:t xml:space="preserve"> </w:t>
            </w:r>
            <w:r w:rsidR="00FD20E7">
              <w:rPr>
                <w:rFonts w:ascii="Verdana" w:hAnsi="Verdana" w:cs="Arial"/>
                <w:b/>
                <w:bCs/>
                <w:sz w:val="18"/>
                <w:szCs w:val="18"/>
              </w:rPr>
              <w:t>May 2024</w:t>
            </w:r>
          </w:p>
        </w:tc>
      </w:tr>
      <w:tr w:rsidR="00AE2F13" w14:paraId="53B211F7" w14:textId="77777777" w:rsidTr="004D29D8">
        <w:trPr>
          <w:gridAfter w:val="2"/>
          <w:wAfter w:w="6056" w:type="dxa"/>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4D29D8">
        <w:trPr>
          <w:gridAfter w:val="2"/>
          <w:wAfter w:w="6056" w:type="dxa"/>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4D29D8">
        <w:trPr>
          <w:gridAfter w:val="2"/>
          <w:wAfter w:w="6056" w:type="dxa"/>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4D29D8">
        <w:trPr>
          <w:gridAfter w:val="2"/>
          <w:wAfter w:w="6056" w:type="dxa"/>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4D29D8" w14:paraId="25311384"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4D29D8" w:rsidRDefault="004D29D8" w:rsidP="004D29D8">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3DB51DFE" w:rsidR="004D29D8" w:rsidRDefault="004D29D8" w:rsidP="004D29D8">
            <w:pPr>
              <w:ind w:left="-3" w:firstLine="3"/>
              <w:rPr>
                <w:rFonts w:ascii="Verdana" w:hAnsi="Verdana" w:cs="Arial"/>
                <w:sz w:val="20"/>
              </w:rPr>
            </w:pPr>
            <w:r>
              <w:rPr>
                <w:rFonts w:cs="Arial"/>
                <w:sz w:val="20"/>
              </w:rPr>
              <w:t xml:space="preserve"> Mr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47C9207D" w:rsidR="004D29D8" w:rsidRDefault="004D29D8" w:rsidP="004D29D8">
            <w:pPr>
              <w:rPr>
                <w:rFonts w:ascii="Verdana" w:hAnsi="Verdana" w:cs="Arial"/>
                <w:sz w:val="20"/>
              </w:rPr>
            </w:pPr>
            <w:r>
              <w:rPr>
                <w:rFonts w:cs="Arial"/>
                <w:sz w:val="20"/>
              </w:rPr>
              <w:t> Mr</w:t>
            </w:r>
          </w:p>
        </w:tc>
      </w:tr>
      <w:tr w:rsidR="004D29D8" w14:paraId="1FFC9DD7" w14:textId="09F03C12"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shd w:val="clear" w:color="auto" w:fill="auto"/>
            <w:tcMar>
              <w:top w:w="0" w:type="dxa"/>
              <w:left w:w="108" w:type="dxa"/>
              <w:bottom w:w="0" w:type="dxa"/>
              <w:right w:w="108" w:type="dxa"/>
            </w:tcMar>
            <w:vAlign w:val="center"/>
          </w:tcPr>
          <w:p w14:paraId="64B21C82" w14:textId="684C791B" w:rsidR="004D29D8" w:rsidRDefault="004D29D8" w:rsidP="004D29D8">
            <w:pPr>
              <w:rPr>
                <w:rFonts w:ascii="Verdana" w:hAnsi="Verdana" w:cs="Arial"/>
                <w:sz w:val="20"/>
              </w:rPr>
            </w:pPr>
            <w:r>
              <w:rPr>
                <w:rFonts w:ascii="Verdana" w:hAnsi="Verdana" w:cs="Arial"/>
                <w:sz w:val="20"/>
              </w:rPr>
              <w:t> </w:t>
            </w:r>
          </w:p>
        </w:tc>
        <w:tc>
          <w:tcPr>
            <w:tcW w:w="3028" w:type="dxa"/>
          </w:tcPr>
          <w:p w14:paraId="603D3E27" w14:textId="77777777" w:rsidR="004D29D8" w:rsidRDefault="004D29D8" w:rsidP="004D29D8">
            <w:pPr>
              <w:suppressAutoHyphens w:val="0"/>
              <w:autoSpaceDN/>
              <w:spacing w:after="160" w:line="259" w:lineRule="auto"/>
              <w:textAlignment w:val="auto"/>
            </w:pPr>
          </w:p>
        </w:tc>
        <w:tc>
          <w:tcPr>
            <w:tcW w:w="3028" w:type="dxa"/>
            <w:shd w:val="clear" w:color="auto" w:fill="auto"/>
            <w:vAlign w:val="center"/>
          </w:tcPr>
          <w:p w14:paraId="2886402D" w14:textId="4158C84D" w:rsidR="004D29D8" w:rsidRDefault="004D29D8" w:rsidP="004D29D8">
            <w:pPr>
              <w:suppressAutoHyphens w:val="0"/>
              <w:autoSpaceDN/>
              <w:spacing w:after="160" w:line="259" w:lineRule="auto"/>
              <w:textAlignment w:val="auto"/>
            </w:pPr>
            <w:r>
              <w:rPr>
                <w:rFonts w:cs="Arial"/>
                <w:sz w:val="20"/>
              </w:rPr>
              <w:t> </w:t>
            </w:r>
          </w:p>
        </w:tc>
      </w:tr>
      <w:tr w:rsidR="004D29D8" w14:paraId="0CDA49D2"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4D29D8" w:rsidRDefault="004D29D8" w:rsidP="004D29D8">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147B6EE6" w:rsidR="004D29D8" w:rsidRDefault="004D29D8" w:rsidP="004D29D8">
            <w:pPr>
              <w:ind w:left="-3" w:firstLine="3"/>
              <w:rPr>
                <w:rFonts w:ascii="Verdana" w:hAnsi="Verdana" w:cs="Arial"/>
                <w:sz w:val="20"/>
              </w:rPr>
            </w:pPr>
            <w:r>
              <w:rPr>
                <w:rFonts w:cs="Arial"/>
                <w:sz w:val="20"/>
              </w:rPr>
              <w:t> Alastair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25B209BE" w:rsidR="004D29D8" w:rsidRDefault="004D29D8" w:rsidP="004D29D8">
            <w:pPr>
              <w:rPr>
                <w:rFonts w:ascii="Verdana" w:hAnsi="Verdana" w:cs="Arial"/>
                <w:sz w:val="20"/>
              </w:rPr>
            </w:pPr>
            <w:r>
              <w:rPr>
                <w:rFonts w:cs="Arial"/>
                <w:sz w:val="20"/>
              </w:rPr>
              <w:t> Paul</w:t>
            </w:r>
          </w:p>
        </w:tc>
      </w:tr>
      <w:tr w:rsidR="004D29D8" w14:paraId="11FFFA7C" w14:textId="3A2C898D"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shd w:val="clear" w:color="auto" w:fill="auto"/>
            <w:tcMar>
              <w:top w:w="0" w:type="dxa"/>
              <w:left w:w="108" w:type="dxa"/>
              <w:bottom w:w="0" w:type="dxa"/>
              <w:right w:w="108" w:type="dxa"/>
            </w:tcMar>
            <w:vAlign w:val="center"/>
          </w:tcPr>
          <w:p w14:paraId="3E7E6546" w14:textId="5E5A3363" w:rsidR="004D29D8" w:rsidRDefault="004D29D8" w:rsidP="004D29D8">
            <w:pPr>
              <w:rPr>
                <w:rFonts w:ascii="Verdana" w:hAnsi="Verdana" w:cs="Arial"/>
                <w:sz w:val="20"/>
              </w:rPr>
            </w:pPr>
            <w:r>
              <w:rPr>
                <w:rFonts w:ascii="Verdana" w:hAnsi="Verdana" w:cs="Arial"/>
                <w:sz w:val="20"/>
              </w:rPr>
              <w:t> </w:t>
            </w:r>
          </w:p>
        </w:tc>
        <w:tc>
          <w:tcPr>
            <w:tcW w:w="3028" w:type="dxa"/>
          </w:tcPr>
          <w:p w14:paraId="59A5C3A8" w14:textId="77777777" w:rsidR="004D29D8" w:rsidRDefault="004D29D8" w:rsidP="004D29D8">
            <w:pPr>
              <w:suppressAutoHyphens w:val="0"/>
              <w:autoSpaceDN/>
              <w:spacing w:after="160" w:line="259" w:lineRule="auto"/>
              <w:textAlignment w:val="auto"/>
            </w:pPr>
          </w:p>
        </w:tc>
        <w:tc>
          <w:tcPr>
            <w:tcW w:w="3028" w:type="dxa"/>
            <w:shd w:val="clear" w:color="auto" w:fill="auto"/>
            <w:vAlign w:val="center"/>
          </w:tcPr>
          <w:p w14:paraId="474FF147" w14:textId="60E80430" w:rsidR="004D29D8" w:rsidRDefault="004D29D8" w:rsidP="004D29D8">
            <w:pPr>
              <w:suppressAutoHyphens w:val="0"/>
              <w:autoSpaceDN/>
              <w:spacing w:after="160" w:line="259" w:lineRule="auto"/>
              <w:textAlignment w:val="auto"/>
            </w:pPr>
            <w:r>
              <w:rPr>
                <w:rFonts w:cs="Arial"/>
                <w:sz w:val="20"/>
              </w:rPr>
              <w:t> </w:t>
            </w:r>
          </w:p>
        </w:tc>
      </w:tr>
      <w:tr w:rsidR="004D29D8" w14:paraId="27DC321A"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4D29D8" w:rsidRDefault="004D29D8" w:rsidP="004D29D8">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4B56BB5E" w:rsidR="004D29D8" w:rsidRDefault="004D29D8" w:rsidP="004D29D8">
            <w:pPr>
              <w:ind w:left="-3" w:firstLine="3"/>
              <w:rPr>
                <w:rFonts w:ascii="Verdana" w:hAnsi="Verdana" w:cs="Arial"/>
                <w:sz w:val="20"/>
              </w:rPr>
            </w:pPr>
            <w:r>
              <w:rPr>
                <w:rFonts w:cs="Arial"/>
                <w:sz w:val="20"/>
              </w:rPr>
              <w:t> Stewart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4914ED79" w:rsidR="004D29D8" w:rsidRDefault="004D29D8" w:rsidP="004D29D8">
            <w:pPr>
              <w:rPr>
                <w:rFonts w:ascii="Verdana" w:hAnsi="Verdana" w:cs="Arial"/>
                <w:sz w:val="20"/>
              </w:rPr>
            </w:pPr>
            <w:r>
              <w:rPr>
                <w:rFonts w:cs="Arial"/>
                <w:sz w:val="20"/>
              </w:rPr>
              <w:t> Hill</w:t>
            </w:r>
          </w:p>
        </w:tc>
      </w:tr>
      <w:tr w:rsidR="004D29D8" w14:paraId="7F420504" w14:textId="42E70F54"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shd w:val="clear" w:color="auto" w:fill="auto"/>
            <w:tcMar>
              <w:top w:w="0" w:type="dxa"/>
              <w:left w:w="108" w:type="dxa"/>
              <w:bottom w:w="0" w:type="dxa"/>
              <w:right w:w="108" w:type="dxa"/>
            </w:tcMar>
            <w:vAlign w:val="center"/>
          </w:tcPr>
          <w:p w14:paraId="12B9DC38" w14:textId="595EE26F" w:rsidR="004D29D8" w:rsidRDefault="004D29D8" w:rsidP="004D29D8">
            <w:pPr>
              <w:rPr>
                <w:rFonts w:ascii="Verdana" w:hAnsi="Verdana" w:cs="Arial"/>
                <w:sz w:val="20"/>
              </w:rPr>
            </w:pPr>
            <w:r>
              <w:rPr>
                <w:rFonts w:ascii="Verdana" w:hAnsi="Verdana" w:cs="Arial"/>
                <w:sz w:val="20"/>
              </w:rPr>
              <w:t> </w:t>
            </w:r>
          </w:p>
        </w:tc>
        <w:tc>
          <w:tcPr>
            <w:tcW w:w="3028" w:type="dxa"/>
          </w:tcPr>
          <w:p w14:paraId="3543D139" w14:textId="77777777" w:rsidR="004D29D8" w:rsidRDefault="004D29D8" w:rsidP="004D29D8">
            <w:pPr>
              <w:suppressAutoHyphens w:val="0"/>
              <w:autoSpaceDN/>
              <w:spacing w:after="160" w:line="259" w:lineRule="auto"/>
              <w:textAlignment w:val="auto"/>
            </w:pPr>
          </w:p>
        </w:tc>
        <w:tc>
          <w:tcPr>
            <w:tcW w:w="3028" w:type="dxa"/>
            <w:shd w:val="clear" w:color="auto" w:fill="auto"/>
            <w:vAlign w:val="center"/>
          </w:tcPr>
          <w:p w14:paraId="05BE4B08" w14:textId="705124C8" w:rsidR="004D29D8" w:rsidRDefault="004D29D8" w:rsidP="004D29D8">
            <w:pPr>
              <w:suppressAutoHyphens w:val="0"/>
              <w:autoSpaceDN/>
              <w:spacing w:after="160" w:line="259" w:lineRule="auto"/>
              <w:textAlignment w:val="auto"/>
            </w:pPr>
            <w:r>
              <w:rPr>
                <w:rFonts w:cs="Arial"/>
                <w:sz w:val="20"/>
              </w:rPr>
              <w:t> </w:t>
            </w:r>
          </w:p>
        </w:tc>
      </w:tr>
      <w:tr w:rsidR="004D29D8" w14:paraId="20008554"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4D29D8" w:rsidRDefault="004D29D8" w:rsidP="004D29D8">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2C5C717E" w:rsidR="004D29D8" w:rsidRDefault="004D29D8" w:rsidP="004D29D8">
            <w:pPr>
              <w:ind w:left="-3" w:firstLine="3"/>
              <w:rPr>
                <w:rFonts w:ascii="Verdana" w:hAnsi="Verdana" w:cs="Arial"/>
                <w:sz w:val="20"/>
              </w:rPr>
            </w:pPr>
            <w:r>
              <w:rPr>
                <w:rFonts w:cs="Arial"/>
                <w:sz w:val="20"/>
              </w:rPr>
              <w:t> Planning Manager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4A0EF1D8" w:rsidR="004D29D8" w:rsidRDefault="004D29D8" w:rsidP="004D29D8">
            <w:pPr>
              <w:rPr>
                <w:rFonts w:ascii="Verdana" w:hAnsi="Verdana" w:cs="Arial"/>
                <w:sz w:val="20"/>
              </w:rPr>
            </w:pPr>
            <w:r>
              <w:rPr>
                <w:rFonts w:cs="Arial"/>
                <w:sz w:val="20"/>
              </w:rPr>
              <w:t> Senior Director - Planning</w:t>
            </w:r>
          </w:p>
        </w:tc>
      </w:tr>
      <w:tr w:rsidR="004D29D8" w14:paraId="67C23891" w14:textId="3A60C4B6"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4D29D8" w:rsidRDefault="004D29D8" w:rsidP="004D29D8">
            <w:pPr>
              <w:ind w:left="-3" w:firstLine="3"/>
              <w:rPr>
                <w:rFonts w:ascii="Verdana" w:hAnsi="Verdana" w:cs="Arial"/>
                <w:sz w:val="16"/>
                <w:szCs w:val="16"/>
              </w:rPr>
            </w:pPr>
            <w:r>
              <w:rPr>
                <w:rFonts w:ascii="Verdana" w:hAnsi="Verdana" w:cs="Arial"/>
                <w:sz w:val="16"/>
                <w:szCs w:val="16"/>
              </w:rPr>
              <w:t>(where relevant)</w:t>
            </w:r>
          </w:p>
        </w:tc>
        <w:tc>
          <w:tcPr>
            <w:tcW w:w="3028" w:type="dxa"/>
            <w:gridSpan w:val="7"/>
            <w:shd w:val="clear" w:color="auto" w:fill="auto"/>
            <w:tcMar>
              <w:top w:w="0" w:type="dxa"/>
              <w:left w:w="108" w:type="dxa"/>
              <w:bottom w:w="0" w:type="dxa"/>
              <w:right w:w="108" w:type="dxa"/>
            </w:tcMar>
            <w:vAlign w:val="center"/>
          </w:tcPr>
          <w:p w14:paraId="764FA036" w14:textId="717AA7DE" w:rsidR="004D29D8" w:rsidRDefault="004D29D8" w:rsidP="004D29D8">
            <w:pPr>
              <w:rPr>
                <w:rFonts w:ascii="Verdana" w:hAnsi="Verdana" w:cs="Arial"/>
                <w:sz w:val="16"/>
                <w:szCs w:val="16"/>
              </w:rPr>
            </w:pPr>
            <w:r>
              <w:rPr>
                <w:rFonts w:ascii="Verdana" w:hAnsi="Verdana" w:cs="Arial"/>
                <w:sz w:val="16"/>
                <w:szCs w:val="16"/>
              </w:rPr>
              <w:t>(where relevant)</w:t>
            </w:r>
          </w:p>
        </w:tc>
        <w:tc>
          <w:tcPr>
            <w:tcW w:w="3028" w:type="dxa"/>
          </w:tcPr>
          <w:p w14:paraId="2D673A68" w14:textId="77777777" w:rsidR="004D29D8" w:rsidRDefault="004D29D8" w:rsidP="004D29D8">
            <w:pPr>
              <w:suppressAutoHyphens w:val="0"/>
              <w:autoSpaceDN/>
              <w:spacing w:after="160" w:line="259" w:lineRule="auto"/>
              <w:textAlignment w:val="auto"/>
            </w:pPr>
          </w:p>
        </w:tc>
        <w:tc>
          <w:tcPr>
            <w:tcW w:w="3028" w:type="dxa"/>
            <w:shd w:val="clear" w:color="auto" w:fill="auto"/>
            <w:vAlign w:val="center"/>
          </w:tcPr>
          <w:p w14:paraId="6C387BC6" w14:textId="4DF14C85" w:rsidR="004D29D8" w:rsidRDefault="004D29D8" w:rsidP="004D29D8">
            <w:pPr>
              <w:suppressAutoHyphens w:val="0"/>
              <w:autoSpaceDN/>
              <w:spacing w:after="160" w:line="259" w:lineRule="auto"/>
              <w:textAlignment w:val="auto"/>
            </w:pPr>
            <w:r>
              <w:rPr>
                <w:rFonts w:cs="Arial"/>
                <w:sz w:val="16"/>
                <w:szCs w:val="16"/>
              </w:rPr>
              <w:t>(where relevant)</w:t>
            </w:r>
          </w:p>
        </w:tc>
      </w:tr>
      <w:tr w:rsidR="004D29D8" w14:paraId="2A834EDB"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4D29D8" w:rsidRDefault="004D29D8" w:rsidP="004D29D8">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5483700" w:rsidR="004D29D8" w:rsidRDefault="004D29D8" w:rsidP="004D29D8">
            <w:pPr>
              <w:ind w:left="-3" w:firstLine="3"/>
              <w:rPr>
                <w:rFonts w:ascii="Verdana" w:hAnsi="Verdana" w:cs="Arial"/>
                <w:sz w:val="20"/>
              </w:rPr>
            </w:pPr>
            <w:r>
              <w:rPr>
                <w:rFonts w:cs="Arial"/>
                <w:sz w:val="20"/>
              </w:rPr>
              <w:t> Persimmon Homes WM</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61588BE3" w:rsidR="004D29D8" w:rsidRDefault="004D29D8" w:rsidP="004D29D8">
            <w:pPr>
              <w:rPr>
                <w:rFonts w:ascii="Verdana" w:hAnsi="Verdana" w:cs="Arial"/>
                <w:sz w:val="20"/>
              </w:rPr>
            </w:pPr>
            <w:r>
              <w:rPr>
                <w:rFonts w:cs="Arial"/>
                <w:sz w:val="20"/>
              </w:rPr>
              <w:t> RPS</w:t>
            </w:r>
          </w:p>
        </w:tc>
      </w:tr>
      <w:tr w:rsidR="004D29D8" w14:paraId="616CB2D4" w14:textId="1CFB7BBA"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4D29D8" w:rsidRDefault="004D29D8" w:rsidP="004D29D8">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4D29D8" w:rsidRDefault="004D29D8" w:rsidP="004D29D8">
            <w:pPr>
              <w:rPr>
                <w:rFonts w:ascii="Verdana" w:hAnsi="Verdana" w:cs="Arial"/>
                <w:sz w:val="16"/>
                <w:szCs w:val="16"/>
              </w:rPr>
            </w:pPr>
          </w:p>
        </w:tc>
        <w:tc>
          <w:tcPr>
            <w:tcW w:w="3028" w:type="dxa"/>
          </w:tcPr>
          <w:p w14:paraId="76C65680" w14:textId="77777777" w:rsidR="004D29D8" w:rsidRDefault="004D29D8" w:rsidP="004D29D8">
            <w:pPr>
              <w:suppressAutoHyphens w:val="0"/>
              <w:autoSpaceDN/>
              <w:spacing w:after="160" w:line="259" w:lineRule="auto"/>
              <w:textAlignment w:val="auto"/>
            </w:pPr>
          </w:p>
        </w:tc>
        <w:tc>
          <w:tcPr>
            <w:tcW w:w="3028" w:type="dxa"/>
            <w:shd w:val="clear" w:color="auto" w:fill="auto"/>
            <w:vAlign w:val="center"/>
          </w:tcPr>
          <w:p w14:paraId="31F154BA" w14:textId="124C3086" w:rsidR="004D29D8" w:rsidRDefault="004D29D8" w:rsidP="004D29D8">
            <w:pPr>
              <w:suppressAutoHyphens w:val="0"/>
              <w:autoSpaceDN/>
              <w:spacing w:after="160" w:line="259" w:lineRule="auto"/>
              <w:textAlignment w:val="auto"/>
            </w:pPr>
            <w:r>
              <w:rPr>
                <w:rFonts w:cs="Arial"/>
                <w:sz w:val="16"/>
                <w:szCs w:val="16"/>
              </w:rPr>
              <w:t>(where relevant)</w:t>
            </w:r>
          </w:p>
        </w:tc>
      </w:tr>
      <w:tr w:rsidR="004D29D8" w14:paraId="79A3E73A"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4D29D8" w:rsidRDefault="004D29D8" w:rsidP="004D29D8">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4D29D8" w:rsidRDefault="004D29D8" w:rsidP="004D29D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440F241F" w:rsidR="004D29D8" w:rsidRDefault="004D29D8" w:rsidP="004D29D8">
            <w:pPr>
              <w:rPr>
                <w:rFonts w:ascii="Verdana" w:hAnsi="Verdana" w:cs="Arial"/>
                <w:sz w:val="20"/>
              </w:rPr>
            </w:pPr>
            <w:r>
              <w:rPr>
                <w:rFonts w:cs="Arial"/>
                <w:sz w:val="20"/>
              </w:rPr>
              <w:t> 4</w:t>
            </w:r>
            <w:r w:rsidRPr="00307176">
              <w:rPr>
                <w:rFonts w:cs="Arial"/>
                <w:sz w:val="20"/>
                <w:vertAlign w:val="superscript"/>
              </w:rPr>
              <w:t>th</w:t>
            </w:r>
            <w:r>
              <w:rPr>
                <w:rFonts w:cs="Arial"/>
                <w:sz w:val="20"/>
              </w:rPr>
              <w:t xml:space="preserve"> Floor, 1 Newhall St.</w:t>
            </w:r>
          </w:p>
        </w:tc>
      </w:tr>
      <w:tr w:rsidR="004D29D8" w14:paraId="224046B6" w14:textId="13E993C7"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4D29D8" w:rsidRDefault="004D29D8" w:rsidP="004D29D8">
            <w:pPr>
              <w:rPr>
                <w:rFonts w:ascii="Verdana" w:hAnsi="Verdana" w:cs="Arial"/>
                <w:sz w:val="20"/>
              </w:rPr>
            </w:pPr>
          </w:p>
        </w:tc>
        <w:tc>
          <w:tcPr>
            <w:tcW w:w="3028" w:type="dxa"/>
          </w:tcPr>
          <w:p w14:paraId="02D6FCF5" w14:textId="77777777" w:rsidR="004D29D8" w:rsidRDefault="004D29D8" w:rsidP="004D29D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0CB2F74F" w14:textId="77777777" w:rsidR="004D29D8" w:rsidRDefault="004D29D8" w:rsidP="004D29D8">
            <w:pPr>
              <w:suppressAutoHyphens w:val="0"/>
              <w:autoSpaceDN/>
              <w:spacing w:after="160" w:line="259" w:lineRule="auto"/>
              <w:textAlignment w:val="auto"/>
            </w:pPr>
          </w:p>
        </w:tc>
      </w:tr>
      <w:tr w:rsidR="004D29D8" w14:paraId="766B7440"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4D29D8" w:rsidRDefault="004D29D8" w:rsidP="004D29D8">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4D29D8" w:rsidRDefault="004D29D8" w:rsidP="004D29D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81C863C" w:rsidR="004D29D8" w:rsidRDefault="004D29D8" w:rsidP="004D29D8">
            <w:pPr>
              <w:rPr>
                <w:rFonts w:ascii="Verdana" w:hAnsi="Verdana" w:cs="Arial"/>
                <w:sz w:val="20"/>
              </w:rPr>
            </w:pPr>
            <w:r>
              <w:rPr>
                <w:rFonts w:cs="Arial"/>
                <w:sz w:val="20"/>
              </w:rPr>
              <w:t> Birmingham</w:t>
            </w:r>
          </w:p>
        </w:tc>
      </w:tr>
      <w:tr w:rsidR="004D29D8" w14:paraId="4DA66D70" w14:textId="7956B284"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4D29D8" w:rsidRDefault="004D29D8" w:rsidP="004D29D8">
            <w:pPr>
              <w:rPr>
                <w:rFonts w:ascii="Verdana" w:hAnsi="Verdana" w:cs="Arial"/>
                <w:sz w:val="20"/>
              </w:rPr>
            </w:pPr>
          </w:p>
        </w:tc>
        <w:tc>
          <w:tcPr>
            <w:tcW w:w="3028" w:type="dxa"/>
          </w:tcPr>
          <w:p w14:paraId="0E0B6293" w14:textId="77777777" w:rsidR="004D29D8" w:rsidRDefault="004D29D8" w:rsidP="004D29D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65D1552D" w14:textId="77777777" w:rsidR="004D29D8" w:rsidRDefault="004D29D8" w:rsidP="004D29D8">
            <w:pPr>
              <w:suppressAutoHyphens w:val="0"/>
              <w:autoSpaceDN/>
              <w:spacing w:after="160" w:line="259" w:lineRule="auto"/>
              <w:textAlignment w:val="auto"/>
            </w:pPr>
          </w:p>
        </w:tc>
      </w:tr>
      <w:tr w:rsidR="004D29D8" w14:paraId="32EB0E9C"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4D29D8" w:rsidRDefault="004D29D8" w:rsidP="004D29D8">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4D29D8" w:rsidRDefault="004D29D8" w:rsidP="004D29D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4D2F619" w:rsidR="004D29D8" w:rsidRDefault="004D29D8" w:rsidP="004D29D8">
            <w:pPr>
              <w:rPr>
                <w:rFonts w:ascii="Verdana" w:hAnsi="Verdana" w:cs="Arial"/>
                <w:sz w:val="20"/>
              </w:rPr>
            </w:pPr>
            <w:r>
              <w:rPr>
                <w:rFonts w:cs="Arial"/>
                <w:sz w:val="20"/>
              </w:rPr>
              <w:t> </w:t>
            </w:r>
          </w:p>
        </w:tc>
      </w:tr>
      <w:tr w:rsidR="004D29D8" w14:paraId="03A4EA93" w14:textId="6C37ECCE"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4D29D8" w:rsidRDefault="004D29D8" w:rsidP="004D29D8">
            <w:pPr>
              <w:rPr>
                <w:rFonts w:ascii="Verdana" w:hAnsi="Verdana" w:cs="Arial"/>
                <w:sz w:val="20"/>
              </w:rPr>
            </w:pPr>
          </w:p>
        </w:tc>
        <w:tc>
          <w:tcPr>
            <w:tcW w:w="3028" w:type="dxa"/>
          </w:tcPr>
          <w:p w14:paraId="38847EDE" w14:textId="77777777" w:rsidR="004D29D8" w:rsidRDefault="004D29D8" w:rsidP="004D29D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4E03D101" w14:textId="77777777" w:rsidR="004D29D8" w:rsidRDefault="004D29D8" w:rsidP="004D29D8">
            <w:pPr>
              <w:suppressAutoHyphens w:val="0"/>
              <w:autoSpaceDN/>
              <w:spacing w:after="160" w:line="259" w:lineRule="auto"/>
              <w:textAlignment w:val="auto"/>
            </w:pPr>
          </w:p>
        </w:tc>
      </w:tr>
      <w:tr w:rsidR="004D29D8" w14:paraId="0F8F1120"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4D29D8" w:rsidRDefault="004D29D8" w:rsidP="004D29D8">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4D29D8" w:rsidRDefault="004D29D8" w:rsidP="004D29D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6152B072" w:rsidR="004D29D8" w:rsidRDefault="004D29D8" w:rsidP="004D29D8">
            <w:pPr>
              <w:rPr>
                <w:rFonts w:ascii="Verdana" w:hAnsi="Verdana" w:cs="Arial"/>
                <w:sz w:val="20"/>
              </w:rPr>
            </w:pPr>
            <w:r>
              <w:rPr>
                <w:rFonts w:cs="Arial"/>
                <w:sz w:val="20"/>
              </w:rPr>
              <w:t> </w:t>
            </w:r>
          </w:p>
        </w:tc>
      </w:tr>
      <w:tr w:rsidR="004D29D8" w14:paraId="71ECE1A0" w14:textId="3C47E553"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4D29D8" w:rsidRDefault="004D29D8" w:rsidP="004D29D8">
            <w:pPr>
              <w:rPr>
                <w:rFonts w:ascii="Verdana" w:hAnsi="Verdana" w:cs="Arial"/>
                <w:sz w:val="20"/>
              </w:rPr>
            </w:pPr>
          </w:p>
        </w:tc>
        <w:tc>
          <w:tcPr>
            <w:tcW w:w="3028" w:type="dxa"/>
          </w:tcPr>
          <w:p w14:paraId="2D3567D0" w14:textId="77777777" w:rsidR="004D29D8" w:rsidRDefault="004D29D8" w:rsidP="004D29D8">
            <w:pPr>
              <w:suppressAutoHyphens w:val="0"/>
              <w:autoSpaceDN/>
              <w:spacing w:after="160" w:line="259" w:lineRule="auto"/>
              <w:textAlignment w:val="auto"/>
            </w:pPr>
          </w:p>
        </w:tc>
        <w:tc>
          <w:tcPr>
            <w:tcW w:w="3028" w:type="dxa"/>
            <w:tcBorders>
              <w:top w:val="single" w:sz="8" w:space="0" w:color="000000"/>
            </w:tcBorders>
            <w:shd w:val="clear" w:color="auto" w:fill="auto"/>
            <w:vAlign w:val="center"/>
          </w:tcPr>
          <w:p w14:paraId="74DC550D" w14:textId="77777777" w:rsidR="004D29D8" w:rsidRDefault="004D29D8" w:rsidP="004D29D8">
            <w:pPr>
              <w:suppressAutoHyphens w:val="0"/>
              <w:autoSpaceDN/>
              <w:spacing w:after="160" w:line="259" w:lineRule="auto"/>
              <w:textAlignment w:val="auto"/>
            </w:pPr>
          </w:p>
        </w:tc>
      </w:tr>
      <w:tr w:rsidR="004D29D8" w14:paraId="1CF5C47B"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4D29D8" w:rsidRDefault="004D29D8" w:rsidP="004D29D8">
            <w:pPr>
              <w:ind w:left="-3" w:firstLine="3"/>
              <w:rPr>
                <w:rFonts w:ascii="Verdana" w:hAnsi="Verdana" w:cs="Arial"/>
                <w:sz w:val="20"/>
              </w:rPr>
            </w:pPr>
            <w:r>
              <w:rPr>
                <w:rFonts w:ascii="Verdana" w:hAnsi="Verdana" w:cs="Arial"/>
                <w:sz w:val="20"/>
              </w:rPr>
              <w:lastRenderedPageBreak/>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4D29D8" w:rsidRDefault="004D29D8" w:rsidP="004D29D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B58DEB9" w:rsidR="004D29D8" w:rsidRDefault="004D29D8" w:rsidP="004D29D8">
            <w:pPr>
              <w:rPr>
                <w:rFonts w:ascii="Verdana" w:hAnsi="Verdana" w:cs="Arial"/>
                <w:sz w:val="20"/>
              </w:rPr>
            </w:pPr>
            <w:r>
              <w:rPr>
                <w:rFonts w:cs="Arial"/>
                <w:sz w:val="20"/>
              </w:rPr>
              <w:t> B3 3NH</w:t>
            </w:r>
          </w:p>
        </w:tc>
      </w:tr>
      <w:tr w:rsidR="004D29D8" w14:paraId="769A35A7" w14:textId="1B656B7A"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4D29D8" w:rsidRDefault="004D29D8" w:rsidP="004D29D8">
            <w:pPr>
              <w:rPr>
                <w:rFonts w:ascii="Verdana" w:hAnsi="Verdana" w:cs="Arial"/>
                <w:sz w:val="20"/>
              </w:rPr>
            </w:pPr>
          </w:p>
        </w:tc>
        <w:tc>
          <w:tcPr>
            <w:tcW w:w="3028" w:type="dxa"/>
          </w:tcPr>
          <w:p w14:paraId="1CD8DBFF" w14:textId="77777777" w:rsidR="004D29D8" w:rsidRDefault="004D29D8" w:rsidP="004D29D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467C93B6" w14:textId="77777777" w:rsidR="004D29D8" w:rsidRDefault="004D29D8" w:rsidP="004D29D8">
            <w:pPr>
              <w:suppressAutoHyphens w:val="0"/>
              <w:autoSpaceDN/>
              <w:spacing w:after="160" w:line="259" w:lineRule="auto"/>
              <w:textAlignment w:val="auto"/>
            </w:pPr>
          </w:p>
        </w:tc>
      </w:tr>
      <w:tr w:rsidR="004D29D8" w14:paraId="2461037D"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4D29D8" w:rsidRDefault="004D29D8" w:rsidP="004D29D8">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4D29D8" w:rsidRDefault="004D29D8" w:rsidP="004D29D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6C41E4D4" w:rsidR="004D29D8" w:rsidRDefault="004D29D8" w:rsidP="004D29D8">
            <w:pPr>
              <w:rPr>
                <w:rFonts w:ascii="Verdana" w:hAnsi="Verdana" w:cs="Arial"/>
                <w:sz w:val="20"/>
              </w:rPr>
            </w:pPr>
            <w:r>
              <w:rPr>
                <w:rFonts w:cs="Arial"/>
                <w:sz w:val="20"/>
              </w:rPr>
              <w:t> 0121 622 8520</w:t>
            </w:r>
          </w:p>
        </w:tc>
      </w:tr>
      <w:tr w:rsidR="004D29D8" w14:paraId="14F81352" w14:textId="36F47926" w:rsidTr="004D29D8">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4D29D8" w:rsidRDefault="004D29D8" w:rsidP="004D29D8">
            <w:pPr>
              <w:rPr>
                <w:rFonts w:ascii="Verdana" w:hAnsi="Verdana" w:cs="Arial"/>
                <w:sz w:val="20"/>
              </w:rPr>
            </w:pPr>
          </w:p>
        </w:tc>
        <w:tc>
          <w:tcPr>
            <w:tcW w:w="3028" w:type="dxa"/>
          </w:tcPr>
          <w:p w14:paraId="5BD88271" w14:textId="77777777" w:rsidR="004D29D8" w:rsidRDefault="004D29D8" w:rsidP="004D29D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1C110883" w14:textId="77777777" w:rsidR="004D29D8" w:rsidRDefault="004D29D8" w:rsidP="004D29D8">
            <w:pPr>
              <w:suppressAutoHyphens w:val="0"/>
              <w:autoSpaceDN/>
              <w:spacing w:after="160" w:line="259" w:lineRule="auto"/>
              <w:textAlignment w:val="auto"/>
            </w:pPr>
          </w:p>
        </w:tc>
      </w:tr>
      <w:tr w:rsidR="004D29D8" w14:paraId="73B5CF22" w14:textId="77777777" w:rsidTr="004D29D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4D29D8" w:rsidRDefault="004D29D8" w:rsidP="004D29D8">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4D29D8" w:rsidRDefault="004D29D8" w:rsidP="004D29D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4D29D8" w:rsidRDefault="004D29D8" w:rsidP="004D29D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590F2BB0" w:rsidR="004D29D8" w:rsidRDefault="004D29D8" w:rsidP="004D29D8">
            <w:pPr>
              <w:rPr>
                <w:rFonts w:ascii="Verdana" w:hAnsi="Verdana" w:cs="Arial"/>
                <w:sz w:val="20"/>
              </w:rPr>
            </w:pPr>
            <w:r>
              <w:rPr>
                <w:rFonts w:cs="Arial"/>
                <w:sz w:val="20"/>
              </w:rPr>
              <w:t> </w:t>
            </w:r>
            <w:hyperlink r:id="rId7" w:history="1">
              <w:r w:rsidRPr="00364222">
                <w:rPr>
                  <w:rStyle w:val="Hyperlink"/>
                  <w:rFonts w:cs="Arial"/>
                  <w:sz w:val="20"/>
                </w:rPr>
                <w:t>paul.hill@rpsgroup.com</w:t>
              </w:r>
            </w:hyperlink>
            <w:r>
              <w:rPr>
                <w:rFonts w:cs="Arial"/>
                <w:sz w:val="20"/>
              </w:rPr>
              <w:t xml:space="preserve"> </w:t>
            </w:r>
          </w:p>
        </w:tc>
      </w:tr>
      <w:tr w:rsidR="004D29D8" w14:paraId="413DD414" w14:textId="77777777" w:rsidTr="004D29D8">
        <w:trPr>
          <w:gridAfter w:val="2"/>
          <w:wAfter w:w="6056" w:type="dxa"/>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4D29D8" w:rsidRDefault="004D29D8" w:rsidP="004D29D8">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4D29D8" w:rsidRDefault="004D29D8" w:rsidP="004D29D8">
            <w:pPr>
              <w:rPr>
                <w:rFonts w:ascii="Verdana" w:hAnsi="Verdana" w:cs="Arial"/>
                <w:sz w:val="20"/>
              </w:rPr>
            </w:pPr>
          </w:p>
        </w:tc>
      </w:tr>
      <w:tr w:rsidR="004D29D8" w14:paraId="4F6C47BE" w14:textId="77777777" w:rsidTr="004D29D8">
        <w:trPr>
          <w:gridBefore w:val="1"/>
          <w:gridAfter w:val="2"/>
          <w:wBefore w:w="204" w:type="dxa"/>
          <w:wAfter w:w="6056"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4D29D8" w:rsidRDefault="004D29D8" w:rsidP="004D29D8">
            <w:pPr>
              <w:pStyle w:val="BodyText"/>
              <w:rPr>
                <w:b/>
                <w:sz w:val="32"/>
                <w:szCs w:val="32"/>
              </w:rPr>
            </w:pPr>
            <w:bookmarkStart w:id="1" w:name="_Toc364432884"/>
            <w:r>
              <w:rPr>
                <w:b/>
                <w:sz w:val="32"/>
                <w:szCs w:val="32"/>
              </w:rPr>
              <w:t>Part B – Please use a separate sheet for each representation</w:t>
            </w:r>
            <w:bookmarkEnd w:id="1"/>
          </w:p>
          <w:p w14:paraId="31D83B6B" w14:textId="77777777" w:rsidR="004D29D8" w:rsidRDefault="004D29D8" w:rsidP="004D29D8">
            <w:pPr>
              <w:rPr>
                <w:rFonts w:ascii="Verdana" w:hAnsi="Verdana" w:cs="Arial"/>
                <w:sz w:val="20"/>
              </w:rPr>
            </w:pPr>
          </w:p>
        </w:tc>
      </w:tr>
      <w:tr w:rsidR="004D29D8" w14:paraId="2D7D5930" w14:textId="77777777" w:rsidTr="004D29D8">
        <w:trPr>
          <w:gridBefore w:val="1"/>
          <w:gridAfter w:val="2"/>
          <w:wBefore w:w="204" w:type="dxa"/>
          <w:wAfter w:w="6056"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4D29D8" w:rsidRDefault="004D29D8" w:rsidP="004D29D8">
            <w:pPr>
              <w:rPr>
                <w:rFonts w:ascii="Verdana" w:hAnsi="Verdana" w:cs="Arial"/>
                <w:sz w:val="20"/>
              </w:rPr>
            </w:pPr>
            <w:r>
              <w:rPr>
                <w:rFonts w:ascii="Verdana" w:hAnsi="Verdana" w:cs="Arial"/>
                <w:sz w:val="20"/>
              </w:rPr>
              <w:t>Name or Organisation:</w:t>
            </w:r>
          </w:p>
          <w:p w14:paraId="64690F50" w14:textId="77777777" w:rsidR="004D29D8" w:rsidRDefault="004D29D8" w:rsidP="004D29D8">
            <w:pPr>
              <w:rPr>
                <w:rFonts w:ascii="Verdana" w:hAnsi="Verdana" w:cs="Arial"/>
                <w:sz w:val="20"/>
              </w:rPr>
            </w:pPr>
          </w:p>
        </w:tc>
      </w:tr>
      <w:tr w:rsidR="004D29D8" w14:paraId="13387FF1" w14:textId="77777777" w:rsidTr="004D29D8">
        <w:trPr>
          <w:gridBefore w:val="1"/>
          <w:gridAfter w:val="2"/>
          <w:wBefore w:w="204" w:type="dxa"/>
          <w:wAfter w:w="6056"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4D29D8" w:rsidRDefault="004D29D8" w:rsidP="004D29D8">
            <w:r>
              <w:rPr>
                <w:rFonts w:ascii="Verdana" w:hAnsi="Verdana" w:cs="Arial"/>
                <w:bCs/>
                <w:sz w:val="20"/>
              </w:rPr>
              <w:t>3. To which part of the Local Plan does this representation relate?</w:t>
            </w:r>
          </w:p>
        </w:tc>
      </w:tr>
      <w:tr w:rsidR="004D29D8" w14:paraId="4CE53490" w14:textId="77777777" w:rsidTr="004D29D8">
        <w:trPr>
          <w:gridBefore w:val="1"/>
          <w:gridAfter w:val="2"/>
          <w:wBefore w:w="204" w:type="dxa"/>
          <w:wAfter w:w="6056"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4D29D8" w:rsidRDefault="004D29D8" w:rsidP="004D29D8">
            <w:pPr>
              <w:rPr>
                <w:rFonts w:ascii="Verdana" w:hAnsi="Verdana" w:cs="Arial"/>
                <w:sz w:val="20"/>
              </w:rPr>
            </w:pPr>
          </w:p>
        </w:tc>
      </w:tr>
      <w:tr w:rsidR="004D29D8" w14:paraId="64497DB5" w14:textId="77777777" w:rsidTr="004D29D8">
        <w:trPr>
          <w:gridBefore w:val="1"/>
          <w:gridAfter w:val="2"/>
          <w:wBefore w:w="204" w:type="dxa"/>
          <w:wAfter w:w="6056"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4D29D8" w:rsidRDefault="004D29D8" w:rsidP="004D29D8">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4D29D8" w:rsidRDefault="004D29D8" w:rsidP="004D29D8">
            <w:pP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4D29D8" w:rsidRDefault="004D29D8" w:rsidP="004D29D8">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6828AC10" w:rsidR="004D29D8" w:rsidRDefault="004D29D8" w:rsidP="004D29D8">
            <w:pPr>
              <w:rPr>
                <w:rFonts w:ascii="Verdana" w:hAnsi="Verdana" w:cs="Arial"/>
                <w:sz w:val="20"/>
              </w:rPr>
            </w:pPr>
            <w:r>
              <w:rPr>
                <w:rFonts w:ascii="Verdana" w:hAnsi="Verdana" w:cs="Arial"/>
                <w:sz w:val="20"/>
              </w:rPr>
              <w:t>DS4</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4D29D8" w:rsidRDefault="004D29D8" w:rsidP="004D29D8">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4D29D8" w:rsidRDefault="004D29D8" w:rsidP="004D29D8">
            <w:pPr>
              <w:rPr>
                <w:rFonts w:ascii="Verdana" w:hAnsi="Verdana" w:cs="Arial"/>
                <w:sz w:val="20"/>
              </w:rPr>
            </w:pPr>
          </w:p>
        </w:tc>
      </w:tr>
      <w:tr w:rsidR="004D29D8" w14:paraId="2B13C1F3" w14:textId="77777777" w:rsidTr="004D29D8">
        <w:trPr>
          <w:gridBefore w:val="1"/>
          <w:gridAfter w:val="2"/>
          <w:wBefore w:w="204" w:type="dxa"/>
          <w:wAfter w:w="6056"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4D29D8" w:rsidRDefault="004D29D8" w:rsidP="004D29D8">
            <w:pPr>
              <w:rPr>
                <w:rFonts w:ascii="Verdana" w:hAnsi="Verdana" w:cs="Arial"/>
                <w:sz w:val="20"/>
              </w:rPr>
            </w:pPr>
          </w:p>
          <w:p w14:paraId="72686C68" w14:textId="5B902791" w:rsidR="004D29D8" w:rsidRDefault="004D29D8" w:rsidP="004D29D8">
            <w:r>
              <w:rPr>
                <w:rFonts w:ascii="Verdana" w:hAnsi="Verdana" w:cs="Arial"/>
                <w:sz w:val="20"/>
              </w:rPr>
              <w:t>4. Do you consider the Local Plan is  :</w:t>
            </w:r>
          </w:p>
        </w:tc>
      </w:tr>
      <w:tr w:rsidR="004D29D8" w14:paraId="379B48A5" w14:textId="77777777" w:rsidTr="004D29D8">
        <w:trPr>
          <w:gridBefore w:val="1"/>
          <w:gridAfter w:val="2"/>
          <w:wBefore w:w="204" w:type="dxa"/>
          <w:wAfter w:w="6056"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4D29D8" w:rsidRDefault="004D29D8" w:rsidP="004D29D8">
            <w:pPr>
              <w:rPr>
                <w:rFonts w:ascii="Verdana" w:hAnsi="Verdana" w:cs="Arial"/>
                <w:sz w:val="20"/>
              </w:rPr>
            </w:pPr>
            <w:r>
              <w:rPr>
                <w:rFonts w:ascii="Verdana" w:hAnsi="Verdana" w:cs="Arial"/>
                <w:sz w:val="20"/>
              </w:rPr>
              <w:t>(1) Legally compliant</w:t>
            </w:r>
          </w:p>
          <w:p w14:paraId="3295D301" w14:textId="77777777" w:rsidR="004D29D8" w:rsidRDefault="004D29D8" w:rsidP="004D29D8">
            <w:pPr>
              <w:rPr>
                <w:rFonts w:ascii="Verdana" w:hAnsi="Verdana" w:cs="Arial"/>
                <w:sz w:val="20"/>
              </w:rPr>
            </w:pPr>
          </w:p>
          <w:p w14:paraId="38CC9405" w14:textId="228255D9" w:rsidR="004D29D8" w:rsidRDefault="004D29D8" w:rsidP="004D29D8">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4D29D8" w:rsidRDefault="004D29D8" w:rsidP="004D29D8">
            <w:pPr>
              <w:rPr>
                <w:rFonts w:ascii="Verdana" w:hAnsi="Verdana" w:cs="Arial"/>
                <w:sz w:val="20"/>
              </w:rPr>
            </w:pPr>
            <w:r>
              <w:rPr>
                <w:rFonts w:ascii="Verdana" w:hAnsi="Verdana" w:cs="Arial"/>
                <w:sz w:val="20"/>
              </w:rPr>
              <w:t>Yes</w:t>
            </w:r>
          </w:p>
          <w:p w14:paraId="035754B2" w14:textId="77777777" w:rsidR="004D29D8" w:rsidRDefault="004D29D8" w:rsidP="004D29D8">
            <w:pPr>
              <w:rPr>
                <w:rFonts w:ascii="Verdana" w:hAnsi="Verdana" w:cs="Arial"/>
                <w:sz w:val="20"/>
              </w:rPr>
            </w:pPr>
          </w:p>
          <w:p w14:paraId="4858EBB5" w14:textId="77777777" w:rsidR="004D29D8" w:rsidRDefault="004D29D8" w:rsidP="004D29D8">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B5DDC18" w:rsidR="004D29D8" w:rsidRDefault="004D29D8" w:rsidP="004D29D8">
            <w:pPr>
              <w:rPr>
                <w:rFonts w:ascii="Verdana" w:hAnsi="Verdana" w:cs="Arial"/>
                <w:sz w:val="20"/>
              </w:rPr>
            </w:pPr>
            <w:r>
              <w:rPr>
                <w:rFonts w:ascii="Verdana" w:hAnsi="Verdana" w:cs="Arial"/>
                <w:sz w:val="20"/>
              </w:rPr>
              <w:sym w:font="Wingdings" w:char="F0FC"/>
            </w:r>
          </w:p>
          <w:p w14:paraId="30B20819" w14:textId="77777777" w:rsidR="004D29D8" w:rsidRDefault="004D29D8" w:rsidP="004D29D8">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4D29D8" w:rsidRDefault="004D29D8" w:rsidP="004D29D8">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4D29D8" w:rsidRDefault="004D29D8" w:rsidP="004D29D8">
            <w:pPr>
              <w:rPr>
                <w:rFonts w:ascii="Verdana" w:hAnsi="Verdana" w:cs="Arial"/>
                <w:sz w:val="20"/>
              </w:rPr>
            </w:pPr>
            <w:r>
              <w:rPr>
                <w:rFonts w:ascii="Verdana" w:hAnsi="Verdana" w:cs="Arial"/>
                <w:sz w:val="20"/>
              </w:rPr>
              <w:t xml:space="preserve">No     </w:t>
            </w:r>
          </w:p>
          <w:p w14:paraId="6401FFE2" w14:textId="77777777" w:rsidR="004D29D8" w:rsidRDefault="004D29D8" w:rsidP="004D29D8">
            <w:pPr>
              <w:rPr>
                <w:rFonts w:ascii="Verdana" w:hAnsi="Verdana" w:cs="Arial"/>
                <w:sz w:val="20"/>
              </w:rPr>
            </w:pPr>
          </w:p>
          <w:p w14:paraId="3BC25F5D" w14:textId="77777777" w:rsidR="004D29D8" w:rsidRDefault="004D29D8" w:rsidP="004D29D8">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77777777" w:rsidR="004D29D8" w:rsidRDefault="004D29D8" w:rsidP="004D29D8">
            <w:pPr>
              <w:rPr>
                <w:rFonts w:ascii="Verdana" w:hAnsi="Verdana" w:cs="Arial"/>
                <w:sz w:val="20"/>
              </w:rPr>
            </w:pPr>
          </w:p>
        </w:tc>
      </w:tr>
      <w:tr w:rsidR="004D29D8" w14:paraId="4BC6F467" w14:textId="77777777" w:rsidTr="004D29D8">
        <w:trPr>
          <w:gridBefore w:val="1"/>
          <w:gridAfter w:val="2"/>
          <w:wBefore w:w="204" w:type="dxa"/>
          <w:wAfter w:w="6056"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4D29D8" w:rsidRDefault="004D29D8" w:rsidP="004D29D8">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4D29D8" w:rsidRDefault="004D29D8" w:rsidP="004D29D8">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4D29D8" w:rsidRDefault="004D29D8" w:rsidP="004D29D8">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4D29D8" w:rsidRDefault="004D29D8" w:rsidP="004D29D8">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4D29D8" w:rsidRDefault="004D29D8" w:rsidP="004D29D8">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4D29D8" w:rsidRDefault="004D29D8" w:rsidP="004D29D8">
            <w:pPr>
              <w:rPr>
                <w:rFonts w:ascii="Verdana" w:hAnsi="Verdana" w:cs="Arial"/>
                <w:sz w:val="20"/>
              </w:rPr>
            </w:pPr>
          </w:p>
        </w:tc>
      </w:tr>
      <w:tr w:rsidR="004D29D8" w14:paraId="0837DC04" w14:textId="77777777" w:rsidTr="004D29D8">
        <w:trPr>
          <w:gridBefore w:val="1"/>
          <w:gridAfter w:val="2"/>
          <w:wBefore w:w="204" w:type="dxa"/>
          <w:wAfter w:w="6056"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4D29D8" w:rsidRDefault="004D29D8" w:rsidP="004D29D8">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4D29D8" w:rsidRDefault="004D29D8" w:rsidP="004D29D8">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4D29D8" w:rsidRDefault="004D29D8" w:rsidP="004D29D8">
            <w:pPr>
              <w:rPr>
                <w:rFonts w:ascii="Verdana" w:hAnsi="Verdana" w:cs="Arial"/>
                <w:sz w:val="20"/>
              </w:rPr>
            </w:pPr>
          </w:p>
          <w:p w14:paraId="3C71D4BA" w14:textId="77777777" w:rsidR="004D29D8" w:rsidRDefault="004D29D8" w:rsidP="004D29D8">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4D29D8" w:rsidRDefault="004D29D8" w:rsidP="004D29D8">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4D29D8" w:rsidRDefault="004D29D8" w:rsidP="004D29D8">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77777777" w:rsidR="004D29D8" w:rsidRDefault="004D29D8" w:rsidP="004D29D8">
            <w:pPr>
              <w:rPr>
                <w:rFonts w:ascii="Verdana" w:hAnsi="Verdana" w:cs="Arial"/>
                <w:sz w:val="20"/>
              </w:rPr>
            </w:pPr>
          </w:p>
          <w:p w14:paraId="5571C24D" w14:textId="5AD18658" w:rsidR="004D29D8" w:rsidRDefault="004D29D8" w:rsidP="004D29D8">
            <w:pPr>
              <w:rPr>
                <w:rFonts w:ascii="Verdana" w:hAnsi="Verdana" w:cs="Arial"/>
                <w:sz w:val="20"/>
              </w:rPr>
            </w:pPr>
            <w:r>
              <w:rPr>
                <w:rFonts w:ascii="Verdana" w:hAnsi="Verdana" w:cs="Arial"/>
                <w:sz w:val="20"/>
              </w:rPr>
              <w:sym w:font="Wingdings" w:char="F0FC"/>
            </w:r>
          </w:p>
        </w:tc>
      </w:tr>
      <w:tr w:rsidR="004D29D8" w14:paraId="49C2C8D0" w14:textId="77777777" w:rsidTr="004D29D8">
        <w:trPr>
          <w:gridBefore w:val="1"/>
          <w:gridAfter w:val="2"/>
          <w:wBefore w:w="204" w:type="dxa"/>
          <w:wAfter w:w="6056"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4D29D8" w:rsidRDefault="004D29D8" w:rsidP="004D29D8">
            <w:pPr>
              <w:rPr>
                <w:rFonts w:ascii="Verdana" w:hAnsi="Verdana" w:cs="Arial"/>
                <w:iCs/>
                <w:sz w:val="20"/>
              </w:rPr>
            </w:pPr>
            <w:r>
              <w:rPr>
                <w:rFonts w:ascii="Verdana" w:hAnsi="Verdana" w:cs="Arial"/>
                <w:iCs/>
                <w:sz w:val="20"/>
              </w:rPr>
              <w:t xml:space="preserve">(3) Complies with the </w:t>
            </w:r>
          </w:p>
          <w:p w14:paraId="400A57D0" w14:textId="77777777" w:rsidR="004D29D8" w:rsidRDefault="004D29D8" w:rsidP="004D29D8">
            <w:pPr>
              <w:ind w:left="113"/>
            </w:pPr>
            <w:r>
              <w:rPr>
                <w:rFonts w:ascii="Verdana" w:hAnsi="Verdana" w:cs="Arial"/>
                <w:iCs/>
                <w:noProof/>
                <w:sz w:val="20"/>
              </w:rPr>
              <mc:AlternateContent>
                <mc:Choice Requires="wps">
                  <w:drawing>
                    <wp:anchor distT="0" distB="0" distL="114300" distR="114300" simplePos="0" relativeHeight="251666432"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4D29D8" w:rsidRDefault="004D29D8"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" strokeweight=".26467mm">
                      <v:textbox>
                        <w:txbxContent>
                          <w:p w14:paraId="1F6313BA" w14:textId="77777777" w:rsidR="004D29D8" w:rsidRDefault="004D29D8"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7456"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4D29D8" w:rsidRDefault="004D29D8"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" strokeweight=".26467mm">
                      <v:textbox>
                        <w:txbxContent>
                          <w:p w14:paraId="79CD1DB8" w14:textId="77777777" w:rsidR="004D29D8" w:rsidRDefault="004D29D8" w:rsidP="00AE2F13"/>
                        </w:txbxContent>
                      </v:textbox>
                    </v:shape>
                  </w:pict>
                </mc:Fallback>
              </mc:AlternateContent>
            </w:r>
            <w:r>
              <w:rPr>
                <w:rFonts w:ascii="Verdana" w:hAnsi="Verdana" w:cs="Arial"/>
                <w:iCs/>
                <w:sz w:val="20"/>
              </w:rPr>
              <w:t xml:space="preserve">Duty to co-operate                     Yes                                         No                       </w:t>
            </w:r>
          </w:p>
          <w:p w14:paraId="67D78BCB" w14:textId="77777777" w:rsidR="004D29D8" w:rsidRDefault="004D29D8" w:rsidP="004D29D8">
            <w:pPr>
              <w:ind w:left="113"/>
              <w:rPr>
                <w:rFonts w:ascii="Verdana" w:hAnsi="Verdana" w:cs="Arial"/>
                <w:iCs/>
                <w:sz w:val="20"/>
              </w:rPr>
            </w:pPr>
          </w:p>
          <w:p w14:paraId="531AE4A7" w14:textId="77777777" w:rsidR="004D29D8" w:rsidRDefault="004D29D8" w:rsidP="004D29D8">
            <w:pPr>
              <w:ind w:left="113"/>
              <w:rPr>
                <w:rFonts w:ascii="Verdana" w:hAnsi="Verdana" w:cs="Arial"/>
                <w:iCs/>
                <w:sz w:val="20"/>
              </w:rPr>
            </w:pPr>
            <w:r>
              <w:rPr>
                <w:rFonts w:ascii="Verdana" w:hAnsi="Verdana" w:cs="Arial"/>
                <w:iCs/>
                <w:sz w:val="20"/>
              </w:rPr>
              <w:t xml:space="preserve">            </w:t>
            </w:r>
          </w:p>
        </w:tc>
      </w:tr>
      <w:tr w:rsidR="004D29D8" w14:paraId="72805950" w14:textId="77777777" w:rsidTr="004D29D8">
        <w:trPr>
          <w:gridBefore w:val="1"/>
          <w:gridAfter w:val="2"/>
          <w:wBefore w:w="204" w:type="dxa"/>
          <w:wAfter w:w="6056"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4D29D8" w:rsidRDefault="004D29D8" w:rsidP="004D29D8">
            <w:r>
              <w:rPr>
                <w:rFonts w:ascii="Verdana" w:hAnsi="Verdana" w:cs="Arial"/>
                <w:sz w:val="16"/>
                <w:szCs w:val="16"/>
              </w:rPr>
              <w:t>Please tick as appropriate</w:t>
            </w:r>
          </w:p>
        </w:tc>
      </w:tr>
      <w:tr w:rsidR="004D29D8" w14:paraId="2B481CB1" w14:textId="77777777" w:rsidTr="004D29D8">
        <w:trPr>
          <w:gridBefore w:val="1"/>
          <w:gridAfter w:val="2"/>
          <w:wBefore w:w="204" w:type="dxa"/>
          <w:wAfter w:w="6056" w:type="dxa"/>
          <w:trHeight w:val="180"/>
        </w:trPr>
        <w:tc>
          <w:tcPr>
            <w:tcW w:w="8573" w:type="dxa"/>
            <w:gridSpan w:val="23"/>
            <w:shd w:val="clear" w:color="auto" w:fill="auto"/>
            <w:noWrap/>
            <w:tcMar>
              <w:top w:w="0" w:type="dxa"/>
              <w:left w:w="108" w:type="dxa"/>
              <w:bottom w:w="0" w:type="dxa"/>
              <w:right w:w="108" w:type="dxa"/>
            </w:tcMar>
            <w:vAlign w:val="bottom"/>
          </w:tcPr>
          <w:p w14:paraId="346DF7E8" w14:textId="77777777" w:rsidR="004D29D8" w:rsidRDefault="004D29D8" w:rsidP="004D29D8">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4D29D8" w:rsidRDefault="004D29D8" w:rsidP="004D29D8">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4D29D8" w:rsidRDefault="004D29D8" w:rsidP="004D29D8"/>
        </w:tc>
      </w:tr>
      <w:tr w:rsidR="004D29D8" w14:paraId="7D1DC76D" w14:textId="77777777" w:rsidTr="004D29D8">
        <w:trPr>
          <w:gridBefore w:val="1"/>
          <w:gridAfter w:val="2"/>
          <w:wBefore w:w="204" w:type="dxa"/>
          <w:wAfter w:w="6056" w:type="dxa"/>
          <w:trHeight w:val="2078"/>
        </w:trPr>
        <w:tc>
          <w:tcPr>
            <w:tcW w:w="8573"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FA9856" w14:textId="088EC855" w:rsidR="004D29D8" w:rsidRDefault="004D29D8" w:rsidP="004D29D8">
            <w:pPr>
              <w:pStyle w:val="TableParagraph"/>
              <w:spacing w:line="276" w:lineRule="auto"/>
              <w:jc w:val="both"/>
              <w:rPr>
                <w:bCs/>
                <w:sz w:val="20"/>
                <w:szCs w:val="20"/>
              </w:rPr>
            </w:pPr>
            <w:r w:rsidRPr="00B8500F">
              <w:rPr>
                <w:b/>
                <w:sz w:val="20"/>
                <w:szCs w:val="20"/>
              </w:rPr>
              <w:t xml:space="preserve">Policy DS4 (Development Needs) </w:t>
            </w:r>
            <w:r w:rsidRPr="00B8500F">
              <w:rPr>
                <w:bCs/>
                <w:sz w:val="20"/>
                <w:szCs w:val="20"/>
              </w:rPr>
              <w:t xml:space="preserve">establishes a housing target of a minimum of 9,089 dwellings to be delivered between 2018 and 2039. This comprises 5,089 dwellings to meet local housing needs of South Staffordshire, and </w:t>
            </w:r>
            <w:r w:rsidR="00224DF3">
              <w:rPr>
                <w:bCs/>
                <w:sz w:val="20"/>
                <w:szCs w:val="20"/>
              </w:rPr>
              <w:t>640</w:t>
            </w:r>
            <w:r w:rsidRPr="00B8500F">
              <w:rPr>
                <w:bCs/>
                <w:sz w:val="20"/>
                <w:szCs w:val="20"/>
              </w:rPr>
              <w:t xml:space="preserve"> dwellings towards the unmet need of the Greater Birmingham and Black Country Housing Market Area. </w:t>
            </w:r>
          </w:p>
          <w:p w14:paraId="3E9ED347" w14:textId="6E1C15DE" w:rsidR="004D29D8" w:rsidRDefault="004D29D8" w:rsidP="004D29D8">
            <w:pPr>
              <w:pStyle w:val="TableParagraph"/>
              <w:spacing w:line="276" w:lineRule="auto"/>
              <w:jc w:val="both"/>
              <w:rPr>
                <w:bCs/>
                <w:sz w:val="20"/>
                <w:szCs w:val="20"/>
              </w:rPr>
            </w:pPr>
          </w:p>
          <w:p w14:paraId="467FE600" w14:textId="0E91BB66" w:rsidR="004D29D8" w:rsidRPr="004D29D8" w:rsidRDefault="004D29D8" w:rsidP="004D29D8">
            <w:pPr>
              <w:pStyle w:val="TableParagraph"/>
              <w:spacing w:line="276" w:lineRule="auto"/>
              <w:jc w:val="both"/>
              <w:rPr>
                <w:b/>
                <w:sz w:val="20"/>
                <w:szCs w:val="20"/>
              </w:rPr>
            </w:pPr>
            <w:r w:rsidRPr="004D29D8">
              <w:rPr>
                <w:b/>
                <w:sz w:val="20"/>
                <w:szCs w:val="20"/>
              </w:rPr>
              <w:t>Housing Need and Employment Growth</w:t>
            </w:r>
          </w:p>
          <w:p w14:paraId="5CF55DDC" w14:textId="77777777" w:rsidR="004D29D8" w:rsidRPr="00B8500F" w:rsidRDefault="004D29D8" w:rsidP="004D29D8">
            <w:pPr>
              <w:pStyle w:val="TableParagraph"/>
              <w:spacing w:line="276" w:lineRule="auto"/>
              <w:jc w:val="both"/>
              <w:rPr>
                <w:bCs/>
                <w:sz w:val="20"/>
                <w:szCs w:val="20"/>
                <w:lang w:val="en-GB"/>
              </w:rPr>
            </w:pPr>
            <w:r w:rsidRPr="00B8500F">
              <w:rPr>
                <w:bCs/>
                <w:sz w:val="20"/>
                <w:szCs w:val="20"/>
              </w:rPr>
              <w:t xml:space="preserve">However, it is unclear whether other relevant factors, including employment growth in the District, have been taken into account in determining the appropriate minimum level of housing need to be provided for in the SSLP. </w:t>
            </w:r>
            <w:r w:rsidRPr="00B8500F">
              <w:rPr>
                <w:bCs/>
                <w:sz w:val="20"/>
                <w:szCs w:val="20"/>
                <w:lang w:val="en-GB"/>
              </w:rPr>
              <w:t>Planning Practice Guidance</w:t>
            </w:r>
            <w:r w:rsidRPr="00B8500F">
              <w:rPr>
                <w:bCs/>
                <w:sz w:val="20"/>
                <w:szCs w:val="20"/>
                <w:vertAlign w:val="superscript"/>
                <w:lang w:val="en-GB"/>
              </w:rPr>
              <w:footnoteReference w:id="1"/>
            </w:r>
            <w:r w:rsidRPr="00B8500F">
              <w:rPr>
                <w:bCs/>
                <w:sz w:val="20"/>
                <w:szCs w:val="20"/>
                <w:lang w:val="en-GB"/>
              </w:rPr>
              <w:t xml:space="preserve"> identifies those circumstances that might justify a higher housing need figure than the standard method would indicate. This is because the standard </w:t>
            </w:r>
            <w:r w:rsidRPr="00B8500F">
              <w:rPr>
                <w:bCs/>
                <w:sz w:val="20"/>
                <w:szCs w:val="20"/>
                <w:lang w:val="en-GB"/>
              </w:rPr>
              <w:lastRenderedPageBreak/>
              <w:t xml:space="preserve">method does not attempt to predict the impact that future government policies, </w:t>
            </w:r>
            <w:r w:rsidRPr="00B8500F">
              <w:rPr>
                <w:bCs/>
                <w:sz w:val="20"/>
                <w:szCs w:val="20"/>
                <w:u w:val="single"/>
                <w:lang w:val="en-GB"/>
              </w:rPr>
              <w:t>changing economic circumstances,</w:t>
            </w:r>
            <w:r w:rsidRPr="00B8500F">
              <w:rPr>
                <w:bCs/>
                <w:sz w:val="20"/>
                <w:szCs w:val="20"/>
                <w:lang w:val="en-GB"/>
              </w:rPr>
              <w:t xml:space="preserve"> or what impacts other factors might have on demographic behaviour. This covers a range of factors, including ‘</w:t>
            </w:r>
            <w:r w:rsidRPr="00B8500F">
              <w:rPr>
                <w:bCs/>
                <w:i/>
                <w:iCs/>
                <w:sz w:val="20"/>
                <w:szCs w:val="20"/>
                <w:lang w:val="en-GB"/>
              </w:rPr>
              <w:t>growth strategies for the area that are likely to be deliverable, for example where funding is in place to promote and facilitate additional growth</w:t>
            </w:r>
            <w:r w:rsidRPr="00B8500F">
              <w:rPr>
                <w:bCs/>
                <w:sz w:val="20"/>
                <w:szCs w:val="20"/>
                <w:lang w:val="en-GB"/>
              </w:rPr>
              <w:t xml:space="preserve">’. This would include major new employment investment in the District that is not accounted for when projecting forward future housing need. </w:t>
            </w:r>
          </w:p>
          <w:p w14:paraId="4C1EB210" w14:textId="77777777" w:rsidR="004D29D8" w:rsidRPr="00B8500F" w:rsidRDefault="004D29D8" w:rsidP="004D29D8">
            <w:pPr>
              <w:pStyle w:val="TableParagraph"/>
              <w:spacing w:line="276" w:lineRule="auto"/>
              <w:jc w:val="both"/>
              <w:rPr>
                <w:bCs/>
                <w:sz w:val="20"/>
                <w:szCs w:val="20"/>
                <w:lang w:val="en-GB"/>
              </w:rPr>
            </w:pPr>
          </w:p>
          <w:p w14:paraId="50A1F44A" w14:textId="77777777" w:rsidR="004D29D8" w:rsidRPr="00B8500F" w:rsidRDefault="004D29D8" w:rsidP="004D29D8">
            <w:pPr>
              <w:pStyle w:val="TableParagraph"/>
              <w:spacing w:line="276" w:lineRule="auto"/>
              <w:jc w:val="both"/>
              <w:rPr>
                <w:bCs/>
                <w:sz w:val="20"/>
                <w:szCs w:val="20"/>
                <w:lang w:val="en-GB"/>
              </w:rPr>
            </w:pPr>
            <w:r w:rsidRPr="00B8500F">
              <w:rPr>
                <w:bCs/>
                <w:sz w:val="20"/>
                <w:szCs w:val="20"/>
                <w:lang w:val="en-GB"/>
              </w:rPr>
              <w:t>One such example is of relevance in South Staffordshire, notably the proposals to deliver the West Midlands Interchange (WMI) at Four Ashes. This site is allocated in the SSLP, under Policy SA7, with an expectation that 232.5 hectares of employment development will be delivered at the WMI by 2039. This scheme is also expected to deliver around 8,550 jobs in the District</w:t>
            </w:r>
            <w:r w:rsidRPr="00B8500F">
              <w:rPr>
                <w:bCs/>
                <w:sz w:val="20"/>
                <w:szCs w:val="20"/>
                <w:vertAlign w:val="superscript"/>
                <w:lang w:val="en-GB"/>
              </w:rPr>
              <w:footnoteReference w:id="2"/>
            </w:r>
            <w:r w:rsidRPr="00B8500F">
              <w:rPr>
                <w:bCs/>
                <w:sz w:val="20"/>
                <w:szCs w:val="20"/>
                <w:lang w:val="en-GB"/>
              </w:rPr>
              <w:t>. Paragraph 4.56 of the Preferred Options Document acknowledged that the WMI:</w:t>
            </w:r>
          </w:p>
          <w:p w14:paraId="7025AAF9" w14:textId="77777777" w:rsidR="004D29D8" w:rsidRPr="00B8500F" w:rsidRDefault="004D29D8" w:rsidP="004D29D8">
            <w:pPr>
              <w:pStyle w:val="TableParagraph"/>
              <w:spacing w:line="276" w:lineRule="auto"/>
              <w:jc w:val="both"/>
              <w:rPr>
                <w:bCs/>
                <w:sz w:val="20"/>
                <w:szCs w:val="20"/>
                <w:lang w:val="en-GB"/>
              </w:rPr>
            </w:pPr>
          </w:p>
          <w:p w14:paraId="701D0877" w14:textId="77777777" w:rsidR="004D29D8" w:rsidRPr="00B8500F" w:rsidRDefault="004D29D8" w:rsidP="004D29D8">
            <w:pPr>
              <w:pStyle w:val="TableParagraph"/>
              <w:spacing w:line="276" w:lineRule="auto"/>
              <w:jc w:val="both"/>
              <w:rPr>
                <w:bCs/>
                <w:sz w:val="20"/>
                <w:szCs w:val="20"/>
                <w:lang w:val="en-GB"/>
              </w:rPr>
            </w:pPr>
            <w:r w:rsidRPr="00B8500F">
              <w:rPr>
                <w:bCs/>
                <w:sz w:val="20"/>
                <w:szCs w:val="20"/>
                <w:lang w:val="en-GB"/>
              </w:rPr>
              <w:t>“…</w:t>
            </w:r>
            <w:r w:rsidRPr="00B8500F">
              <w:rPr>
                <w:bCs/>
                <w:i/>
                <w:iCs/>
                <w:sz w:val="20"/>
                <w:szCs w:val="20"/>
                <w:lang w:val="en-GB"/>
              </w:rPr>
              <w:t>significantly increases the known oversupply of employment land in South Staffordshire, and with this, the scope to contribute towards unmet needs elsewhere in the FEMA</w:t>
            </w:r>
            <w:r w:rsidRPr="00B8500F">
              <w:rPr>
                <w:bCs/>
                <w:sz w:val="20"/>
                <w:szCs w:val="20"/>
                <w:lang w:val="en-GB"/>
              </w:rPr>
              <w:t>….”</w:t>
            </w:r>
          </w:p>
          <w:p w14:paraId="24DAC0BB" w14:textId="77777777" w:rsidR="004D29D8" w:rsidRPr="00B8500F" w:rsidRDefault="004D29D8" w:rsidP="004D29D8">
            <w:pPr>
              <w:pStyle w:val="TableParagraph"/>
              <w:spacing w:line="276" w:lineRule="auto"/>
              <w:jc w:val="both"/>
              <w:rPr>
                <w:bCs/>
                <w:sz w:val="20"/>
                <w:szCs w:val="20"/>
                <w:lang w:val="en-GB"/>
              </w:rPr>
            </w:pPr>
          </w:p>
          <w:p w14:paraId="77209761" w14:textId="77777777" w:rsidR="004D29D8" w:rsidRPr="00B8500F" w:rsidRDefault="004D29D8" w:rsidP="004D29D8">
            <w:pPr>
              <w:pStyle w:val="TableParagraph"/>
              <w:spacing w:line="276" w:lineRule="auto"/>
              <w:jc w:val="both"/>
              <w:rPr>
                <w:bCs/>
                <w:sz w:val="20"/>
                <w:szCs w:val="20"/>
                <w:lang w:val="en-GB"/>
              </w:rPr>
            </w:pPr>
            <w:r w:rsidRPr="00B8500F">
              <w:rPr>
                <w:bCs/>
                <w:sz w:val="20"/>
                <w:szCs w:val="20"/>
                <w:lang w:val="en-GB"/>
              </w:rPr>
              <w:t xml:space="preserve">The total supply of employment land in South Staffordshire is estimated to be at least 327.9 hectares (see Table 9 of the SSLP), including WMI. This is against an estimated employment land need in the District of 63.6 hectares (see paragraph 6.41 of the SSLP). The estimated over-supply of employment land available in the District is therefore in the region of 264.3 hectares. Of this surplus, around 103.6 ha is ‘claimed’ by the Black Country to meet cross boundary needs, comprising 67 ha from WMI and 36.6ha from other strategic sites allocated in the SSLP under Policy SA7 (see Table 9 / paragraph 5.62 of the SSLP). This leaves around 160.7 ha of surplus employment land. Of the 232.5 ha of employment land at WMI, 18.8ha is also attributed to meeting South Staffordshire’s labour demand (see Table 9, footnote ** of the SSLP). When accounting for this, the residual surplus of employment land allocated in the SSLP is still 141.9 hectares and which is not anticipated to meet either local employment need nor address the unmet employment needs from the Black Country. </w:t>
            </w:r>
          </w:p>
          <w:p w14:paraId="385C4F16" w14:textId="77777777" w:rsidR="004D29D8" w:rsidRPr="00B8500F" w:rsidRDefault="004D29D8" w:rsidP="004D29D8">
            <w:pPr>
              <w:pStyle w:val="TableParagraph"/>
              <w:spacing w:line="276" w:lineRule="auto"/>
              <w:jc w:val="both"/>
              <w:rPr>
                <w:bCs/>
                <w:sz w:val="20"/>
                <w:szCs w:val="20"/>
                <w:lang w:val="en-GB"/>
              </w:rPr>
            </w:pPr>
          </w:p>
          <w:p w14:paraId="4852D9BB" w14:textId="77777777" w:rsidR="004D29D8" w:rsidRPr="00B8500F" w:rsidRDefault="004D29D8" w:rsidP="004D29D8">
            <w:pPr>
              <w:pStyle w:val="TableParagraph"/>
              <w:spacing w:line="276" w:lineRule="auto"/>
              <w:jc w:val="both"/>
              <w:rPr>
                <w:bCs/>
                <w:sz w:val="20"/>
                <w:szCs w:val="20"/>
                <w:lang w:val="en-GB"/>
              </w:rPr>
            </w:pPr>
            <w:r w:rsidRPr="00B8500F">
              <w:rPr>
                <w:bCs/>
                <w:sz w:val="20"/>
                <w:szCs w:val="20"/>
                <w:lang w:val="en-GB"/>
              </w:rPr>
              <w:t>The substantial over-allocation of employment land in the SSLP, including that resulting from the WMI project, will need an additional labour supply to fill the new jobs provided. The Council’s employment evidence suggest that the additional jobs, including those provided at WMI, will be met by the existing South Staffordshire labour force through either reduced unemployment or reduced out-commuting (see Economic Development Needs Assessment 2020-2040, June 2022, paragraph 0.56). However, it remains unclear whether the potential impact on the demand for housing within the District, as a result of the jobs growth required to support the over-supply of employment, has been taken into account in determining the minimum local housing need figure now proposed in the SSLP. From the review of the published evidence undertaken by RPS, this appears not to be the case. Without clarity on this matter, the proposed housing target in the SSLP is not justified and so is not soundly-based.</w:t>
            </w:r>
          </w:p>
          <w:p w14:paraId="2D77B380" w14:textId="77777777" w:rsidR="004D29D8" w:rsidRPr="00B8500F" w:rsidRDefault="004D29D8" w:rsidP="004D29D8">
            <w:pPr>
              <w:pStyle w:val="TableParagraph"/>
              <w:spacing w:line="276" w:lineRule="auto"/>
              <w:jc w:val="both"/>
              <w:rPr>
                <w:bCs/>
                <w:sz w:val="20"/>
                <w:szCs w:val="20"/>
                <w:lang w:val="en-GB"/>
              </w:rPr>
            </w:pPr>
          </w:p>
          <w:p w14:paraId="642E03CC" w14:textId="07FF814B" w:rsidR="004D29D8" w:rsidRDefault="004D29D8" w:rsidP="004D29D8">
            <w:pPr>
              <w:pStyle w:val="TableParagraph"/>
              <w:spacing w:line="276" w:lineRule="auto"/>
              <w:jc w:val="both"/>
              <w:rPr>
                <w:bCs/>
                <w:sz w:val="20"/>
                <w:szCs w:val="20"/>
                <w:lang w:val="en-GB"/>
              </w:rPr>
            </w:pPr>
            <w:r w:rsidRPr="00B8500F">
              <w:rPr>
                <w:bCs/>
                <w:sz w:val="20"/>
                <w:szCs w:val="20"/>
                <w:lang w:val="en-GB"/>
              </w:rPr>
              <w:t>RPS therefore recommends that the Council revisits its assessment of local housing need in order to properly assess the impact of planned future employment growth in the District and consider the implications on housing demand of the significant level of over-supply of employment land identified in the SSLP.</w:t>
            </w:r>
          </w:p>
          <w:p w14:paraId="700FDEA7" w14:textId="2BDDA6A7" w:rsidR="004D29D8" w:rsidRDefault="004D29D8" w:rsidP="004D29D8">
            <w:pPr>
              <w:pStyle w:val="TableParagraph"/>
              <w:spacing w:line="276" w:lineRule="auto"/>
              <w:jc w:val="both"/>
              <w:rPr>
                <w:bCs/>
                <w:sz w:val="20"/>
                <w:szCs w:val="20"/>
                <w:lang w:val="en-GB"/>
              </w:rPr>
            </w:pPr>
          </w:p>
          <w:p w14:paraId="714F236A" w14:textId="33FBD5CA" w:rsidR="004D29D8" w:rsidRPr="004D29D8" w:rsidRDefault="004D29D8" w:rsidP="004D29D8">
            <w:pPr>
              <w:pStyle w:val="TableParagraph"/>
              <w:spacing w:line="276" w:lineRule="auto"/>
              <w:jc w:val="both"/>
              <w:rPr>
                <w:b/>
                <w:sz w:val="20"/>
                <w:szCs w:val="20"/>
                <w:lang w:val="en-GB"/>
              </w:rPr>
            </w:pPr>
            <w:r w:rsidRPr="004D29D8">
              <w:rPr>
                <w:b/>
                <w:sz w:val="20"/>
                <w:szCs w:val="20"/>
                <w:lang w:val="en-GB"/>
              </w:rPr>
              <w:t>Unmet need from neighbouring areas</w:t>
            </w:r>
          </w:p>
          <w:p w14:paraId="4DDF2005" w14:textId="64D4F00B" w:rsidR="004D29D8" w:rsidRPr="00B8500F" w:rsidRDefault="004D29D8" w:rsidP="004D29D8">
            <w:pPr>
              <w:pStyle w:val="TableParagraph"/>
              <w:spacing w:line="276" w:lineRule="auto"/>
              <w:jc w:val="both"/>
              <w:rPr>
                <w:bCs/>
                <w:sz w:val="20"/>
                <w:szCs w:val="20"/>
                <w:lang w:val="en-GB"/>
              </w:rPr>
            </w:pPr>
            <w:r w:rsidRPr="00B8500F">
              <w:rPr>
                <w:bCs/>
                <w:sz w:val="20"/>
                <w:szCs w:val="20"/>
              </w:rPr>
              <w:t>In addition, in line with our objections to Strategic Objective 2 under the plan vision, RPS contends that a soundly-based contribution towards unmet need should be increased to at least 4,</w:t>
            </w:r>
            <w:r w:rsidR="00135B3E">
              <w:rPr>
                <w:bCs/>
                <w:sz w:val="20"/>
                <w:szCs w:val="20"/>
              </w:rPr>
              <w:t>0</w:t>
            </w:r>
            <w:r w:rsidRPr="00B8500F">
              <w:rPr>
                <w:bCs/>
                <w:sz w:val="20"/>
                <w:szCs w:val="20"/>
              </w:rPr>
              <w:t xml:space="preserve">00 dwellings. Furthermore, the Council continues to rely on the GBBCHMA Strategic Growth Study (SGS) published in February 2018 as a basis for the 4,000 dwelling figure. This is confirmed at paragraph 5.16 of the SSLP. </w:t>
            </w:r>
            <w:r w:rsidRPr="00B8500F">
              <w:rPr>
                <w:bCs/>
                <w:sz w:val="20"/>
                <w:szCs w:val="20"/>
                <w:lang w:val="en-GB"/>
              </w:rPr>
              <w:t>The Strategic Growth Study (SGS) was published in February 2018, and covered need and supply of housing across the Greater Birmingham HMA up to 2036. The Council acknowledges that events have moved on since this SGS was published, notably the emergence of a substantial level of unmet housing need identified in the Black Country, totalling 28,239 dwellings up to 2039 once all sources of supply within the conurbation have been identified</w:t>
            </w:r>
            <w:r w:rsidRPr="00B8500F">
              <w:rPr>
                <w:bCs/>
                <w:sz w:val="20"/>
                <w:szCs w:val="20"/>
                <w:vertAlign w:val="superscript"/>
                <w:lang w:val="en-GB"/>
              </w:rPr>
              <w:footnoteReference w:id="3"/>
            </w:r>
            <w:r w:rsidRPr="00B8500F">
              <w:rPr>
                <w:bCs/>
                <w:sz w:val="20"/>
                <w:szCs w:val="20"/>
                <w:lang w:val="en-GB"/>
              </w:rPr>
              <w:t>. The scale of unmet need is higher than previous estimates, based in part on higher estimates of housing need for the Black Country (using on the standard method and 35% urban centres uplift) and lower estimates of supply from land within the existing built-up area.  Similarly, the scale of the shortfall is not only significant in scale but also extends beyond the end date of the SGS (2036) by three additional years, to 2039. This new and evolving position should be fully accounted for in the proposed redistribution of unmet need from the Black Country to the District.</w:t>
            </w:r>
          </w:p>
          <w:p w14:paraId="03DC4114" w14:textId="77777777" w:rsidR="004D29D8" w:rsidRPr="00B8500F" w:rsidRDefault="004D29D8" w:rsidP="004D29D8">
            <w:pPr>
              <w:pStyle w:val="TableParagraph"/>
              <w:spacing w:line="276" w:lineRule="auto"/>
              <w:jc w:val="both"/>
              <w:rPr>
                <w:bCs/>
                <w:sz w:val="20"/>
                <w:szCs w:val="20"/>
                <w:lang w:val="en-GB"/>
              </w:rPr>
            </w:pPr>
          </w:p>
          <w:p w14:paraId="33B946E7" w14:textId="77777777" w:rsidR="004D29D8" w:rsidRPr="00B8500F" w:rsidRDefault="004D29D8" w:rsidP="004D29D8">
            <w:pPr>
              <w:pStyle w:val="TableParagraph"/>
              <w:spacing w:line="276" w:lineRule="auto"/>
              <w:jc w:val="both"/>
              <w:rPr>
                <w:bCs/>
                <w:sz w:val="20"/>
                <w:szCs w:val="20"/>
                <w:lang w:val="en-GB"/>
              </w:rPr>
            </w:pPr>
            <w:r w:rsidRPr="00B8500F">
              <w:rPr>
                <w:bCs/>
                <w:sz w:val="20"/>
                <w:szCs w:val="20"/>
                <w:lang w:val="en-GB"/>
              </w:rPr>
              <w:t>Similarly, other relevant information (including data migration and commuting flows between the District and the Black Country) has been ignored in favour of the focus solely on the SGS as the basis for the scale of the redistribution. RPS contend that other data sources should be taken into account and which indicate that the contribution should be higher than 4,000. In terms of migration flows, figures from Office for National Statistics (ONS) show that in 2020</w:t>
            </w:r>
            <w:r w:rsidRPr="00B8500F">
              <w:rPr>
                <w:rStyle w:val="FootnoteReference"/>
                <w:bCs/>
                <w:sz w:val="20"/>
                <w:szCs w:val="20"/>
              </w:rPr>
              <w:footnoteReference w:id="4"/>
            </w:r>
            <w:r w:rsidRPr="00B8500F">
              <w:rPr>
                <w:bCs/>
                <w:sz w:val="20"/>
                <w:szCs w:val="20"/>
                <w:lang w:val="en-GB"/>
              </w:rPr>
              <w:t>, the most recent dataset available, 80% of the moves from other authorities in the GBBCHMA (excluding Birmingham) into the District were from the four Black Country Authorities. This was the highest of all the authorities in the HMA (the next highest was Bromsgrove, at 52% of moves). Similarly, in terms of commuting flows, ONS data shows that South Staffordshire again exerts a strong influence over journeys between the District and the Black Country. The latest commuting data remains the Census 2011</w:t>
            </w:r>
            <w:r w:rsidRPr="00B8500F">
              <w:rPr>
                <w:rStyle w:val="FootnoteReference"/>
                <w:bCs/>
                <w:sz w:val="20"/>
                <w:szCs w:val="20"/>
              </w:rPr>
              <w:footnoteReference w:id="5"/>
            </w:r>
            <w:r w:rsidRPr="00B8500F">
              <w:rPr>
                <w:bCs/>
                <w:sz w:val="20"/>
                <w:szCs w:val="20"/>
                <w:lang w:val="en-GB"/>
              </w:rPr>
              <w:t>, which shows that of the total journeys out of the District to a place of work within the GBBCHMA (excluding Birmingham) 80% were to the Black Country. This was significantly higher than the next highest area, which was from Cannock Chase (at 46%). This analysis illustrates the strength of the functional relationship between South Staffordshire and the Black Country. In contrast, the proportion of the total unmet need from the Black Country being met in South Staffordshire is just 14%. RPS contends that the quantum of unmet need has been suppressed due to the over-reliance on the SGS as the sole basis for the 4,000 redistribution figure and, as a result, does not reflect other relevant factors, notably the functional relationship between the two areas. On this basis, RPS does not consider the 4,000 to be justified on the evidence and information available and so is not soundly-based.</w:t>
            </w:r>
          </w:p>
          <w:p w14:paraId="65E1CCF4" w14:textId="77777777" w:rsidR="004D29D8" w:rsidRPr="00B8500F" w:rsidRDefault="004D29D8" w:rsidP="004D29D8">
            <w:pPr>
              <w:pStyle w:val="TableParagraph"/>
              <w:rPr>
                <w:bCs/>
                <w:sz w:val="20"/>
                <w:szCs w:val="20"/>
              </w:rPr>
            </w:pPr>
          </w:p>
          <w:p w14:paraId="22809FF5" w14:textId="77777777" w:rsidR="004D29D8" w:rsidRPr="00B8500F" w:rsidRDefault="004D29D8" w:rsidP="004D29D8">
            <w:pPr>
              <w:pStyle w:val="TableParagraph"/>
              <w:rPr>
                <w:bCs/>
                <w:sz w:val="20"/>
                <w:szCs w:val="20"/>
              </w:rPr>
            </w:pPr>
          </w:p>
          <w:p w14:paraId="249ED9FF" w14:textId="3B854263" w:rsidR="004D29D8" w:rsidRPr="008F5991" w:rsidRDefault="004D29D8" w:rsidP="004D29D8">
            <w:pPr>
              <w:spacing w:line="276" w:lineRule="auto"/>
              <w:jc w:val="right"/>
              <w:rPr>
                <w:rFonts w:ascii="Verdana" w:hAnsi="Verdana" w:cs="Arial"/>
                <w:sz w:val="20"/>
                <w:szCs w:val="20"/>
              </w:rPr>
            </w:pPr>
            <w:r w:rsidRPr="00B8500F">
              <w:rPr>
                <w:bCs/>
                <w:sz w:val="20"/>
                <w:szCs w:val="20"/>
              </w:rPr>
              <w:t xml:space="preserve"> </w:t>
            </w:r>
            <w:r w:rsidRPr="00B8500F">
              <w:rPr>
                <w:sz w:val="20"/>
                <w:szCs w:val="20"/>
              </w:rPr>
              <w:t>(Continue</w:t>
            </w:r>
            <w:r w:rsidRPr="00B8500F">
              <w:rPr>
                <w:spacing w:val="-1"/>
                <w:sz w:val="20"/>
                <w:szCs w:val="20"/>
              </w:rPr>
              <w:t xml:space="preserve"> </w:t>
            </w:r>
            <w:r w:rsidRPr="00B8500F">
              <w:rPr>
                <w:sz w:val="20"/>
                <w:szCs w:val="20"/>
              </w:rPr>
              <w:t>on</w:t>
            </w:r>
            <w:r w:rsidRPr="00B8500F">
              <w:rPr>
                <w:spacing w:val="-3"/>
                <w:sz w:val="20"/>
                <w:szCs w:val="20"/>
              </w:rPr>
              <w:t xml:space="preserve"> </w:t>
            </w:r>
            <w:r w:rsidRPr="00B8500F">
              <w:rPr>
                <w:sz w:val="20"/>
                <w:szCs w:val="20"/>
              </w:rPr>
              <w:t>a</w:t>
            </w:r>
            <w:r w:rsidRPr="00B8500F">
              <w:rPr>
                <w:spacing w:val="-2"/>
                <w:sz w:val="20"/>
                <w:szCs w:val="20"/>
              </w:rPr>
              <w:t xml:space="preserve"> </w:t>
            </w:r>
            <w:r w:rsidRPr="00B8500F">
              <w:rPr>
                <w:sz w:val="20"/>
                <w:szCs w:val="20"/>
              </w:rPr>
              <w:t>separate</w:t>
            </w:r>
            <w:r w:rsidRPr="00B8500F">
              <w:rPr>
                <w:spacing w:val="-1"/>
                <w:sz w:val="20"/>
                <w:szCs w:val="20"/>
              </w:rPr>
              <w:t xml:space="preserve"> </w:t>
            </w:r>
            <w:r w:rsidRPr="00B8500F">
              <w:rPr>
                <w:sz w:val="20"/>
                <w:szCs w:val="20"/>
              </w:rPr>
              <w:t>sheet</w:t>
            </w:r>
            <w:r w:rsidRPr="00B8500F">
              <w:rPr>
                <w:spacing w:val="-3"/>
                <w:sz w:val="20"/>
                <w:szCs w:val="20"/>
              </w:rPr>
              <w:t xml:space="preserve"> </w:t>
            </w:r>
            <w:r w:rsidRPr="00B8500F">
              <w:rPr>
                <w:sz w:val="20"/>
                <w:szCs w:val="20"/>
              </w:rPr>
              <w:t>/expand box</w:t>
            </w:r>
            <w:r w:rsidRPr="00B8500F">
              <w:rPr>
                <w:spacing w:val="-1"/>
                <w:sz w:val="20"/>
                <w:szCs w:val="20"/>
              </w:rPr>
              <w:t xml:space="preserve"> </w:t>
            </w:r>
            <w:r w:rsidRPr="00B8500F">
              <w:rPr>
                <w:sz w:val="20"/>
                <w:szCs w:val="20"/>
              </w:rPr>
              <w:t>if</w:t>
            </w:r>
            <w:r w:rsidRPr="00B8500F">
              <w:rPr>
                <w:spacing w:val="-1"/>
                <w:sz w:val="20"/>
                <w:szCs w:val="20"/>
              </w:rPr>
              <w:t xml:space="preserve"> </w:t>
            </w:r>
            <w:r w:rsidRPr="00B8500F">
              <w:rPr>
                <w:spacing w:val="-2"/>
                <w:sz w:val="20"/>
                <w:szCs w:val="20"/>
              </w:rPr>
              <w:t>necessary)</w:t>
            </w:r>
          </w:p>
        </w:tc>
      </w:tr>
      <w:tr w:rsidR="004D29D8" w14:paraId="0072ED96" w14:textId="77777777" w:rsidTr="004D29D8">
        <w:trPr>
          <w:gridBefore w:val="1"/>
          <w:gridAfter w:val="2"/>
          <w:wBefore w:w="204" w:type="dxa"/>
          <w:wAfter w:w="6056" w:type="dxa"/>
          <w:trHeight w:val="180"/>
        </w:trPr>
        <w:tc>
          <w:tcPr>
            <w:tcW w:w="8573" w:type="dxa"/>
            <w:gridSpan w:val="23"/>
            <w:shd w:val="clear" w:color="auto" w:fill="auto"/>
            <w:noWrap/>
            <w:tcMar>
              <w:top w:w="0" w:type="dxa"/>
              <w:left w:w="108" w:type="dxa"/>
              <w:bottom w:w="0" w:type="dxa"/>
              <w:right w:w="108" w:type="dxa"/>
            </w:tcMar>
            <w:vAlign w:val="bottom"/>
          </w:tcPr>
          <w:p w14:paraId="78380661" w14:textId="77777777" w:rsidR="004D29D8" w:rsidRDefault="004D29D8" w:rsidP="004D29D8">
            <w:pPr>
              <w:rPr>
                <w:rFonts w:ascii="Verdana" w:hAnsi="Verdana" w:cs="Arial"/>
                <w:sz w:val="20"/>
              </w:rPr>
            </w:pPr>
          </w:p>
          <w:p w14:paraId="7A789ED9" w14:textId="1E9FEC46" w:rsidR="004D29D8" w:rsidRDefault="004D29D8" w:rsidP="004D29D8">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4D29D8" w14:paraId="01067014" w14:textId="77777777" w:rsidTr="004D29D8">
        <w:trPr>
          <w:gridBefore w:val="1"/>
          <w:gridAfter w:val="2"/>
          <w:wBefore w:w="204" w:type="dxa"/>
          <w:wAfter w:w="6056" w:type="dxa"/>
          <w:trHeight w:val="2078"/>
        </w:trPr>
        <w:tc>
          <w:tcPr>
            <w:tcW w:w="8573"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4D29D8" w:rsidRDefault="004D29D8" w:rsidP="004D29D8">
            <w:pPr>
              <w:rPr>
                <w:rFonts w:ascii="Verdana" w:hAnsi="Verdana" w:cs="Arial"/>
                <w:sz w:val="16"/>
                <w:szCs w:val="16"/>
              </w:rPr>
            </w:pPr>
          </w:p>
          <w:p w14:paraId="585191E0" w14:textId="2F731F2C" w:rsidR="002142D1" w:rsidRDefault="002142D1" w:rsidP="004D29D8">
            <w:pPr>
              <w:rPr>
                <w:rFonts w:ascii="Verdana" w:hAnsi="Verdana" w:cs="Arial"/>
                <w:bCs/>
                <w:sz w:val="20"/>
                <w:lang w:val="en-US"/>
              </w:rPr>
            </w:pPr>
            <w:r w:rsidRPr="002142D1">
              <w:rPr>
                <w:rFonts w:ascii="Verdana" w:hAnsi="Verdana" w:cs="Arial"/>
                <w:bCs/>
                <w:sz w:val="20"/>
                <w:lang w:val="en-US"/>
              </w:rPr>
              <w:t>RPS recommends that the Council revisits its assessment of local housing need in order to properly assess the impact of planned future employment growth in the District and consider the implications on housing demand of the significant level of over-supply of employment land identified in the SSLP.</w:t>
            </w:r>
          </w:p>
          <w:p w14:paraId="225294F5" w14:textId="77777777" w:rsidR="002142D1" w:rsidRDefault="002142D1" w:rsidP="004D29D8">
            <w:pPr>
              <w:rPr>
                <w:rFonts w:ascii="Verdana" w:hAnsi="Verdana" w:cs="Arial"/>
                <w:bCs/>
                <w:sz w:val="20"/>
                <w:lang w:val="en-US"/>
              </w:rPr>
            </w:pPr>
          </w:p>
          <w:p w14:paraId="35A8AC18" w14:textId="4C563596" w:rsidR="004D29D8" w:rsidRDefault="004D29D8" w:rsidP="004D29D8">
            <w:pPr>
              <w:rPr>
                <w:rFonts w:ascii="Verdana" w:hAnsi="Verdana" w:cs="Arial"/>
                <w:bCs/>
                <w:sz w:val="20"/>
                <w:lang w:val="en-US"/>
              </w:rPr>
            </w:pPr>
            <w:r>
              <w:rPr>
                <w:rFonts w:ascii="Verdana" w:hAnsi="Verdana" w:cs="Arial"/>
                <w:bCs/>
                <w:sz w:val="20"/>
                <w:lang w:val="en-US"/>
              </w:rPr>
              <w:t>Increase the</w:t>
            </w:r>
            <w:r w:rsidRPr="0051297A">
              <w:rPr>
                <w:rFonts w:ascii="Verdana" w:hAnsi="Verdana" w:cs="Arial"/>
                <w:bCs/>
                <w:sz w:val="20"/>
                <w:lang w:val="en-US"/>
              </w:rPr>
              <w:t xml:space="preserve"> proportionate contribution to the unmet need </w:t>
            </w:r>
            <w:r>
              <w:rPr>
                <w:rFonts w:ascii="Verdana" w:hAnsi="Verdana" w:cs="Arial"/>
                <w:bCs/>
                <w:sz w:val="20"/>
                <w:lang w:val="en-US"/>
              </w:rPr>
              <w:t xml:space="preserve">from the GBBCHMA </w:t>
            </w:r>
            <w:r w:rsidR="002142D1" w:rsidRPr="002142D1">
              <w:rPr>
                <w:rFonts w:ascii="Verdana" w:hAnsi="Verdana"/>
                <w:bCs/>
                <w:sz w:val="20"/>
                <w:szCs w:val="20"/>
              </w:rPr>
              <w:t>to at least 4,200 dwellings</w:t>
            </w:r>
            <w:r w:rsidR="002142D1" w:rsidRPr="002142D1">
              <w:rPr>
                <w:rFonts w:ascii="Verdana" w:hAnsi="Verdana" w:cs="Arial"/>
                <w:bCs/>
                <w:sz w:val="20"/>
                <w:lang w:val="en-US"/>
              </w:rPr>
              <w:t xml:space="preserve"> </w:t>
            </w:r>
            <w:r>
              <w:rPr>
                <w:rFonts w:ascii="Verdana" w:hAnsi="Verdana" w:cs="Arial"/>
                <w:bCs/>
                <w:sz w:val="20"/>
                <w:lang w:val="en-US"/>
              </w:rPr>
              <w:t xml:space="preserve">on the basis that the plan period has been </w:t>
            </w:r>
            <w:r w:rsidRPr="0051297A">
              <w:rPr>
                <w:rFonts w:ascii="Verdana" w:hAnsi="Verdana" w:cs="Arial"/>
                <w:bCs/>
                <w:sz w:val="20"/>
                <w:lang w:val="en-US"/>
              </w:rPr>
              <w:t>extended forward by one year in line with the local housing need increase.</w:t>
            </w:r>
            <w:r w:rsidR="002142D1">
              <w:rPr>
                <w:rFonts w:ascii="Verdana" w:hAnsi="Verdana" w:cs="Arial"/>
                <w:bCs/>
                <w:sz w:val="20"/>
                <w:lang w:val="en-US"/>
              </w:rPr>
              <w:t xml:space="preserve"> </w:t>
            </w:r>
          </w:p>
          <w:p w14:paraId="1095CD01" w14:textId="5DE6559C" w:rsidR="002142D1" w:rsidRDefault="002142D1" w:rsidP="004D29D8">
            <w:pPr>
              <w:rPr>
                <w:rFonts w:ascii="Verdana" w:hAnsi="Verdana" w:cs="Arial"/>
                <w:bCs/>
                <w:sz w:val="20"/>
                <w:lang w:val="en-US"/>
              </w:rPr>
            </w:pPr>
          </w:p>
          <w:p w14:paraId="686F2EFD" w14:textId="77777777" w:rsidR="002142D1" w:rsidRDefault="002142D1" w:rsidP="004D29D8">
            <w:pPr>
              <w:rPr>
                <w:rFonts w:ascii="Verdana" w:hAnsi="Verdana" w:cs="Arial"/>
                <w:sz w:val="20"/>
              </w:rPr>
            </w:pPr>
          </w:p>
          <w:p w14:paraId="22DEF707" w14:textId="163F6DAB" w:rsidR="004D29D8" w:rsidRDefault="004D29D8" w:rsidP="004D29D8">
            <w:pPr>
              <w:rPr>
                <w:rFonts w:ascii="Verdana" w:hAnsi="Verdana" w:cs="Arial"/>
                <w:sz w:val="16"/>
                <w:szCs w:val="16"/>
              </w:rPr>
            </w:pPr>
          </w:p>
          <w:p w14:paraId="1A5EE7CE" w14:textId="77777777" w:rsidR="002142D1" w:rsidRDefault="002142D1" w:rsidP="004D29D8">
            <w:pPr>
              <w:rPr>
                <w:rFonts w:ascii="Verdana" w:hAnsi="Verdana" w:cs="Arial"/>
                <w:sz w:val="16"/>
                <w:szCs w:val="16"/>
              </w:rPr>
            </w:pPr>
          </w:p>
          <w:p w14:paraId="5EB78701" w14:textId="77777777" w:rsidR="004D29D8" w:rsidRDefault="004D29D8" w:rsidP="004D29D8">
            <w:pPr>
              <w:rPr>
                <w:rFonts w:ascii="Verdana" w:hAnsi="Verdana" w:cs="Arial"/>
                <w:sz w:val="16"/>
                <w:szCs w:val="16"/>
              </w:rPr>
            </w:pPr>
          </w:p>
          <w:p w14:paraId="41C32BCC" w14:textId="77777777" w:rsidR="004D29D8" w:rsidRDefault="004D29D8" w:rsidP="004D29D8">
            <w:pPr>
              <w:rPr>
                <w:rFonts w:ascii="Verdana" w:hAnsi="Verdana" w:cs="Arial"/>
                <w:sz w:val="16"/>
                <w:szCs w:val="16"/>
              </w:rPr>
            </w:pPr>
          </w:p>
          <w:p w14:paraId="7774034D" w14:textId="77777777" w:rsidR="004D29D8" w:rsidRDefault="004D29D8" w:rsidP="004D29D8">
            <w:pPr>
              <w:rPr>
                <w:rFonts w:ascii="Verdana" w:hAnsi="Verdana" w:cs="Arial"/>
                <w:sz w:val="16"/>
                <w:szCs w:val="16"/>
              </w:rPr>
            </w:pPr>
          </w:p>
          <w:p w14:paraId="38AFAB24" w14:textId="77777777" w:rsidR="004D29D8" w:rsidRDefault="004D29D8" w:rsidP="004D29D8">
            <w:pPr>
              <w:rPr>
                <w:rFonts w:ascii="Verdana" w:hAnsi="Verdana" w:cs="Arial"/>
                <w:sz w:val="16"/>
                <w:szCs w:val="16"/>
              </w:rPr>
            </w:pPr>
          </w:p>
          <w:p w14:paraId="46455BD2" w14:textId="0A6FA2AE" w:rsidR="004D29D8" w:rsidRDefault="004D29D8" w:rsidP="004D29D8">
            <w:pPr>
              <w:rPr>
                <w:rFonts w:ascii="Verdana" w:hAnsi="Verdana" w:cs="Arial"/>
                <w:sz w:val="16"/>
                <w:szCs w:val="16"/>
              </w:rPr>
            </w:pPr>
          </w:p>
          <w:p w14:paraId="77C09106" w14:textId="31888CA4" w:rsidR="004D29D8" w:rsidRDefault="004D29D8" w:rsidP="004D29D8">
            <w:pPr>
              <w:rPr>
                <w:rFonts w:ascii="Verdana" w:hAnsi="Verdana" w:cs="Arial"/>
                <w:sz w:val="16"/>
                <w:szCs w:val="16"/>
              </w:rPr>
            </w:pPr>
          </w:p>
          <w:p w14:paraId="5E8833FC" w14:textId="2A3F4488" w:rsidR="004D29D8" w:rsidRDefault="004D29D8" w:rsidP="004D29D8">
            <w:pPr>
              <w:rPr>
                <w:rFonts w:ascii="Verdana" w:hAnsi="Verdana" w:cs="Arial"/>
                <w:sz w:val="16"/>
                <w:szCs w:val="16"/>
              </w:rPr>
            </w:pPr>
          </w:p>
          <w:p w14:paraId="5834E428" w14:textId="0021A8B4" w:rsidR="004D29D8" w:rsidRDefault="004D29D8" w:rsidP="004D29D8">
            <w:pPr>
              <w:rPr>
                <w:rFonts w:ascii="Verdana" w:hAnsi="Verdana" w:cs="Arial"/>
                <w:sz w:val="16"/>
                <w:szCs w:val="16"/>
              </w:rPr>
            </w:pPr>
          </w:p>
          <w:p w14:paraId="2651B086" w14:textId="77777777" w:rsidR="004D29D8" w:rsidRDefault="004D29D8" w:rsidP="004D29D8">
            <w:pPr>
              <w:rPr>
                <w:rFonts w:ascii="Verdana" w:hAnsi="Verdana" w:cs="Arial"/>
                <w:sz w:val="16"/>
                <w:szCs w:val="16"/>
              </w:rPr>
            </w:pPr>
          </w:p>
          <w:p w14:paraId="6DE055A9" w14:textId="77777777" w:rsidR="004D29D8" w:rsidRDefault="004D29D8" w:rsidP="004D29D8">
            <w:pPr>
              <w:rPr>
                <w:rFonts w:ascii="Verdana" w:hAnsi="Verdana" w:cs="Arial"/>
                <w:sz w:val="16"/>
                <w:szCs w:val="16"/>
              </w:rPr>
            </w:pPr>
          </w:p>
          <w:p w14:paraId="52433472" w14:textId="77777777" w:rsidR="004D29D8" w:rsidRDefault="004D29D8" w:rsidP="004D29D8">
            <w:pPr>
              <w:rPr>
                <w:rFonts w:ascii="Verdana" w:hAnsi="Verdana" w:cs="Arial"/>
                <w:sz w:val="16"/>
                <w:szCs w:val="16"/>
              </w:rPr>
            </w:pPr>
          </w:p>
          <w:p w14:paraId="773FE396" w14:textId="77777777" w:rsidR="004D29D8" w:rsidRDefault="004D29D8" w:rsidP="004D29D8">
            <w:pPr>
              <w:rPr>
                <w:rFonts w:ascii="Verdana" w:hAnsi="Verdana" w:cs="Arial"/>
                <w:sz w:val="16"/>
                <w:szCs w:val="16"/>
              </w:rPr>
            </w:pPr>
          </w:p>
          <w:p w14:paraId="690ADA17" w14:textId="77777777" w:rsidR="004D29D8" w:rsidRDefault="004D29D8" w:rsidP="004D29D8">
            <w:pPr>
              <w:rPr>
                <w:rFonts w:ascii="Verdana" w:hAnsi="Verdana" w:cs="Arial"/>
                <w:sz w:val="16"/>
                <w:szCs w:val="16"/>
              </w:rPr>
            </w:pPr>
          </w:p>
          <w:p w14:paraId="605D9412" w14:textId="77777777" w:rsidR="004D29D8" w:rsidRDefault="004D29D8" w:rsidP="004D29D8">
            <w:pPr>
              <w:jc w:val="right"/>
              <w:rPr>
                <w:rFonts w:ascii="Verdana" w:hAnsi="Verdana" w:cs="Arial"/>
                <w:sz w:val="16"/>
                <w:szCs w:val="16"/>
              </w:rPr>
            </w:pPr>
            <w:r>
              <w:rPr>
                <w:rFonts w:ascii="Verdana" w:hAnsi="Verdana" w:cs="Arial"/>
                <w:sz w:val="16"/>
                <w:szCs w:val="16"/>
              </w:rPr>
              <w:t>(Continue on a separate sheet /expand box if necessary)</w:t>
            </w:r>
          </w:p>
        </w:tc>
      </w:tr>
      <w:tr w:rsidR="004D29D8" w14:paraId="2D7DDB65" w14:textId="77777777" w:rsidTr="004D29D8">
        <w:trPr>
          <w:gridBefore w:val="1"/>
          <w:gridAfter w:val="2"/>
          <w:wBefore w:w="204" w:type="dxa"/>
          <w:wAfter w:w="6056" w:type="dxa"/>
          <w:cantSplit/>
          <w:trHeight w:val="57"/>
        </w:trPr>
        <w:tc>
          <w:tcPr>
            <w:tcW w:w="8573" w:type="dxa"/>
            <w:gridSpan w:val="23"/>
            <w:shd w:val="clear" w:color="auto" w:fill="auto"/>
            <w:tcMar>
              <w:top w:w="0" w:type="dxa"/>
              <w:left w:w="108" w:type="dxa"/>
              <w:bottom w:w="0" w:type="dxa"/>
              <w:right w:w="108" w:type="dxa"/>
            </w:tcMar>
            <w:vAlign w:val="center"/>
          </w:tcPr>
          <w:p w14:paraId="6F065434" w14:textId="77777777" w:rsidR="004D29D8" w:rsidRDefault="004D29D8" w:rsidP="004D29D8">
            <w:pPr>
              <w:jc w:val="right"/>
              <w:rPr>
                <w:rFonts w:ascii="Verdana" w:hAnsi="Verdana" w:cs="Arial"/>
                <w:sz w:val="16"/>
                <w:szCs w:val="16"/>
              </w:rPr>
            </w:pPr>
          </w:p>
          <w:p w14:paraId="60D93DC9" w14:textId="7AF8551A" w:rsidR="004D29D8" w:rsidRDefault="004D29D8" w:rsidP="004D29D8">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4D29D8" w:rsidRDefault="004D29D8" w:rsidP="004D29D8">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4D29D8" w:rsidRDefault="004D29D8" w:rsidP="004D29D8">
            <w:pPr>
              <w:autoSpaceDE w:val="0"/>
              <w:rPr>
                <w:rFonts w:ascii="Verdana" w:hAnsi="Verdana" w:cs="Arial"/>
                <w:b/>
                <w:bCs/>
                <w:i/>
                <w:sz w:val="20"/>
              </w:rPr>
            </w:pPr>
          </w:p>
        </w:tc>
      </w:tr>
      <w:tr w:rsidR="004D29D8" w14:paraId="1F6AFDAA" w14:textId="77777777" w:rsidTr="004D29D8">
        <w:trPr>
          <w:gridBefore w:val="1"/>
          <w:gridAfter w:val="2"/>
          <w:wBefore w:w="204" w:type="dxa"/>
          <w:wAfter w:w="6056" w:type="dxa"/>
          <w:cantSplit/>
          <w:trHeight w:val="540"/>
        </w:trPr>
        <w:tc>
          <w:tcPr>
            <w:tcW w:w="8573" w:type="dxa"/>
            <w:gridSpan w:val="23"/>
            <w:shd w:val="clear" w:color="auto" w:fill="auto"/>
            <w:tcMar>
              <w:top w:w="0" w:type="dxa"/>
              <w:left w:w="108" w:type="dxa"/>
              <w:bottom w:w="0" w:type="dxa"/>
              <w:right w:w="108" w:type="dxa"/>
            </w:tcMar>
            <w:vAlign w:val="center"/>
          </w:tcPr>
          <w:p w14:paraId="50567247" w14:textId="77777777" w:rsidR="004D29D8" w:rsidRDefault="004D29D8" w:rsidP="004D29D8">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4D29D8" w14:paraId="0E82A0ED" w14:textId="77777777" w:rsidTr="004D29D8">
        <w:trPr>
          <w:gridBefore w:val="1"/>
          <w:gridAfter w:val="2"/>
          <w:wBefore w:w="204" w:type="dxa"/>
          <w:wAfter w:w="6056" w:type="dxa"/>
          <w:cantSplit/>
          <w:trHeight w:val="120"/>
        </w:trPr>
        <w:tc>
          <w:tcPr>
            <w:tcW w:w="8573" w:type="dxa"/>
            <w:gridSpan w:val="23"/>
            <w:shd w:val="clear" w:color="auto" w:fill="auto"/>
            <w:noWrap/>
            <w:tcMar>
              <w:top w:w="0" w:type="dxa"/>
              <w:left w:w="108" w:type="dxa"/>
              <w:bottom w:w="0" w:type="dxa"/>
              <w:right w:w="108" w:type="dxa"/>
            </w:tcMar>
            <w:vAlign w:val="center"/>
          </w:tcPr>
          <w:p w14:paraId="66921D80" w14:textId="77777777" w:rsidR="004D29D8" w:rsidRDefault="004D29D8" w:rsidP="004D29D8">
            <w:pPr>
              <w:rPr>
                <w:rFonts w:ascii="Verdana" w:hAnsi="Verdana" w:cs="Arial"/>
                <w:sz w:val="20"/>
              </w:rPr>
            </w:pPr>
          </w:p>
        </w:tc>
      </w:tr>
      <w:tr w:rsidR="004D29D8" w14:paraId="0BBE171F" w14:textId="77777777" w:rsidTr="004D29D8">
        <w:trPr>
          <w:gridBefore w:val="1"/>
          <w:gridAfter w:val="2"/>
          <w:wBefore w:w="204" w:type="dxa"/>
          <w:wAfter w:w="6056"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4D29D8" w:rsidRDefault="004D29D8" w:rsidP="004D29D8">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4D29D8" w:rsidRDefault="004D29D8" w:rsidP="004D29D8">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4D29D8" w:rsidRDefault="004D29D8" w:rsidP="004D29D8">
            <w:r>
              <w:rPr>
                <w:rFonts w:ascii="Verdana" w:hAnsi="Verdana" w:cs="Arial"/>
                <w:b/>
                <w:bCs/>
                <w:sz w:val="20"/>
              </w:rPr>
              <w:t>No</w:t>
            </w:r>
            <w:r>
              <w:rPr>
                <w:rFonts w:ascii="Verdana" w:hAnsi="Verdana" w:cs="Arial"/>
                <w:sz w:val="20"/>
              </w:rPr>
              <w:t xml:space="preserve">, I do not wish to </w:t>
            </w:r>
          </w:p>
          <w:p w14:paraId="6275F479" w14:textId="77777777" w:rsidR="004D29D8" w:rsidRDefault="004D29D8" w:rsidP="004D29D8">
            <w:pPr>
              <w:rPr>
                <w:rFonts w:ascii="Verdana" w:hAnsi="Verdana" w:cs="Arial"/>
                <w:sz w:val="20"/>
              </w:rPr>
            </w:pPr>
            <w:r>
              <w:rPr>
                <w:rFonts w:ascii="Verdana" w:hAnsi="Verdana" w:cs="Arial"/>
                <w:sz w:val="20"/>
              </w:rPr>
              <w:t xml:space="preserve">participate in </w:t>
            </w:r>
          </w:p>
          <w:p w14:paraId="6230C316" w14:textId="77777777" w:rsidR="004D29D8" w:rsidRDefault="004D29D8" w:rsidP="004D29D8">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913B1E5" w:rsidR="004D29D8" w:rsidRDefault="004D29D8" w:rsidP="004D29D8">
            <w:pPr>
              <w:rPr>
                <w:rFonts w:ascii="Verdana" w:hAnsi="Verdana" w:cs="Arial"/>
                <w:sz w:val="20"/>
              </w:rPr>
            </w:pPr>
            <w:r>
              <w:rPr>
                <w:rFonts w:ascii="Verdana" w:hAnsi="Verdana" w:cs="Arial"/>
                <w:sz w:val="20"/>
              </w:rPr>
              <w:t>Yes</w:t>
            </w:r>
          </w:p>
        </w:tc>
        <w:tc>
          <w:tcPr>
            <w:tcW w:w="2491"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4D29D8" w:rsidRDefault="004D29D8" w:rsidP="004D29D8">
            <w:r>
              <w:rPr>
                <w:rFonts w:ascii="Verdana" w:hAnsi="Verdana" w:cs="Arial"/>
                <w:b/>
                <w:bCs/>
                <w:sz w:val="20"/>
              </w:rPr>
              <w:t>Yes</w:t>
            </w:r>
            <w:r>
              <w:rPr>
                <w:rFonts w:ascii="Verdana" w:hAnsi="Verdana" w:cs="Arial"/>
                <w:sz w:val="20"/>
              </w:rPr>
              <w:t xml:space="preserve">, I wish to participate in </w:t>
            </w:r>
          </w:p>
          <w:p w14:paraId="14834A17" w14:textId="77777777" w:rsidR="004D29D8" w:rsidRDefault="004D29D8" w:rsidP="004D29D8">
            <w:pPr>
              <w:rPr>
                <w:rFonts w:ascii="Verdana" w:hAnsi="Verdana" w:cs="Arial"/>
                <w:sz w:val="20"/>
              </w:rPr>
            </w:pPr>
            <w:r>
              <w:rPr>
                <w:rFonts w:ascii="Verdana" w:hAnsi="Verdana" w:cs="Arial"/>
                <w:sz w:val="20"/>
              </w:rPr>
              <w:t>hearing session(s)</w:t>
            </w:r>
          </w:p>
        </w:tc>
      </w:tr>
      <w:tr w:rsidR="004D29D8" w14:paraId="634CF21C" w14:textId="77777777" w:rsidTr="004D29D8">
        <w:trPr>
          <w:gridBefore w:val="1"/>
          <w:gridAfter w:val="2"/>
          <w:wBefore w:w="204" w:type="dxa"/>
          <w:wAfter w:w="6056" w:type="dxa"/>
          <w:cantSplit/>
          <w:trHeight w:val="60"/>
        </w:trPr>
        <w:tc>
          <w:tcPr>
            <w:tcW w:w="8573" w:type="dxa"/>
            <w:gridSpan w:val="23"/>
            <w:shd w:val="clear" w:color="auto" w:fill="auto"/>
            <w:noWrap/>
            <w:tcMar>
              <w:top w:w="0" w:type="dxa"/>
              <w:left w:w="108" w:type="dxa"/>
              <w:bottom w:w="0" w:type="dxa"/>
              <w:right w:w="108" w:type="dxa"/>
            </w:tcMar>
            <w:vAlign w:val="center"/>
          </w:tcPr>
          <w:p w14:paraId="1689ADAC" w14:textId="77777777" w:rsidR="004D29D8" w:rsidRDefault="004D29D8" w:rsidP="004D29D8">
            <w:pPr>
              <w:rPr>
                <w:rFonts w:ascii="Verdana" w:hAnsi="Verdana" w:cs="Arial"/>
                <w:sz w:val="20"/>
              </w:rPr>
            </w:pPr>
          </w:p>
          <w:p w14:paraId="3AD855CF" w14:textId="77777777" w:rsidR="004D29D8" w:rsidRDefault="004D29D8" w:rsidP="004D29D8">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4D29D8" w:rsidRDefault="004D29D8" w:rsidP="004D29D8">
            <w:pPr>
              <w:rPr>
                <w:rFonts w:ascii="Verdana" w:hAnsi="Verdana" w:cs="Arial"/>
                <w:sz w:val="20"/>
              </w:rPr>
            </w:pPr>
          </w:p>
          <w:p w14:paraId="50EB05DE" w14:textId="77777777" w:rsidR="004D29D8" w:rsidRDefault="004D29D8" w:rsidP="004D29D8">
            <w:pPr>
              <w:rPr>
                <w:rFonts w:ascii="Verdana" w:hAnsi="Verdana" w:cs="Arial"/>
                <w:sz w:val="20"/>
              </w:rPr>
            </w:pPr>
          </w:p>
        </w:tc>
      </w:tr>
      <w:tr w:rsidR="004D29D8" w14:paraId="4CEF5931" w14:textId="77777777" w:rsidTr="004D29D8">
        <w:trPr>
          <w:gridBefore w:val="1"/>
          <w:gridAfter w:val="2"/>
          <w:wBefore w:w="204" w:type="dxa"/>
          <w:wAfter w:w="6056" w:type="dxa"/>
          <w:cantSplit/>
          <w:trHeight w:val="300"/>
        </w:trPr>
        <w:tc>
          <w:tcPr>
            <w:tcW w:w="8573" w:type="dxa"/>
            <w:gridSpan w:val="23"/>
            <w:shd w:val="clear" w:color="auto" w:fill="auto"/>
            <w:noWrap/>
            <w:tcMar>
              <w:top w:w="0" w:type="dxa"/>
              <w:left w:w="108" w:type="dxa"/>
              <w:bottom w:w="0" w:type="dxa"/>
              <w:right w:w="108" w:type="dxa"/>
            </w:tcMar>
            <w:vAlign w:val="center"/>
          </w:tcPr>
          <w:p w14:paraId="19F0FB8F" w14:textId="77777777" w:rsidR="004D29D8" w:rsidRDefault="004D29D8" w:rsidP="004D29D8">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4D29D8" w14:paraId="749C90A9" w14:textId="77777777" w:rsidTr="004D29D8">
        <w:trPr>
          <w:gridBefore w:val="1"/>
          <w:gridAfter w:val="2"/>
          <w:wBefore w:w="204" w:type="dxa"/>
          <w:wAfter w:w="6056" w:type="dxa"/>
          <w:cantSplit/>
          <w:trHeight w:val="57"/>
        </w:trPr>
        <w:tc>
          <w:tcPr>
            <w:tcW w:w="8573"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4D29D8" w:rsidRDefault="004D29D8" w:rsidP="004D29D8">
            <w:pPr>
              <w:rPr>
                <w:rFonts w:ascii="Verdana" w:hAnsi="Verdana" w:cs="Arial"/>
                <w:sz w:val="20"/>
              </w:rPr>
            </w:pPr>
          </w:p>
        </w:tc>
      </w:tr>
      <w:tr w:rsidR="004D29D8" w14:paraId="61EF9AFE" w14:textId="77777777" w:rsidTr="004D29D8">
        <w:trPr>
          <w:gridBefore w:val="1"/>
          <w:gridAfter w:val="2"/>
          <w:wBefore w:w="204" w:type="dxa"/>
          <w:wAfter w:w="6056" w:type="dxa"/>
          <w:cantSplit/>
          <w:trHeight w:val="180"/>
        </w:trPr>
        <w:tc>
          <w:tcPr>
            <w:tcW w:w="8573"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3CEE9D7" w14:textId="4B772F2A" w:rsidR="004D29D8" w:rsidRDefault="004D29D8" w:rsidP="004D29D8">
            <w:pPr>
              <w:rPr>
                <w:rFonts w:ascii="Verdana" w:hAnsi="Verdana" w:cs="Arial"/>
                <w:sz w:val="20"/>
              </w:rPr>
            </w:pPr>
            <w:r w:rsidRPr="0051297A">
              <w:rPr>
                <w:rFonts w:ascii="Verdana" w:hAnsi="Verdana" w:cs="Arial"/>
                <w:sz w:val="20"/>
              </w:rPr>
              <w:t xml:space="preserve">RPS has raised specific issues and concerns through this representation that goes to the soundness of the SSLP and it is essential these concerns and the councils evidence is fully tested.  </w:t>
            </w:r>
          </w:p>
          <w:p w14:paraId="73EDAED9" w14:textId="77777777" w:rsidR="004D29D8" w:rsidRDefault="004D29D8" w:rsidP="004D29D8">
            <w:pPr>
              <w:rPr>
                <w:rFonts w:ascii="Verdana" w:hAnsi="Verdana" w:cs="Arial"/>
                <w:sz w:val="20"/>
              </w:rPr>
            </w:pPr>
          </w:p>
          <w:p w14:paraId="0059C18F" w14:textId="77777777" w:rsidR="004D29D8" w:rsidRDefault="004D29D8" w:rsidP="004D29D8">
            <w:pPr>
              <w:rPr>
                <w:rFonts w:ascii="Verdana" w:hAnsi="Verdana" w:cs="Arial"/>
                <w:sz w:val="20"/>
              </w:rPr>
            </w:pPr>
          </w:p>
          <w:p w14:paraId="0E632ED8" w14:textId="77777777" w:rsidR="004D29D8" w:rsidRDefault="004D29D8" w:rsidP="004D29D8">
            <w:pPr>
              <w:rPr>
                <w:rFonts w:ascii="Verdana" w:hAnsi="Verdana" w:cs="Arial"/>
                <w:sz w:val="20"/>
              </w:rPr>
            </w:pPr>
          </w:p>
          <w:p w14:paraId="0E08C82D" w14:textId="77777777" w:rsidR="004D29D8" w:rsidRDefault="004D29D8" w:rsidP="004D29D8">
            <w:pPr>
              <w:rPr>
                <w:rFonts w:ascii="Verdana" w:hAnsi="Verdana" w:cs="Arial"/>
                <w:sz w:val="20"/>
              </w:rPr>
            </w:pPr>
          </w:p>
          <w:p w14:paraId="01F40E92" w14:textId="77777777" w:rsidR="004D29D8" w:rsidRDefault="004D29D8" w:rsidP="004D29D8">
            <w:pPr>
              <w:rPr>
                <w:rFonts w:ascii="Verdana" w:hAnsi="Verdana" w:cs="Arial"/>
                <w:sz w:val="20"/>
              </w:rPr>
            </w:pPr>
          </w:p>
          <w:p w14:paraId="0ADFA0C2" w14:textId="77777777" w:rsidR="004D29D8" w:rsidRDefault="004D29D8" w:rsidP="004D29D8">
            <w:pPr>
              <w:rPr>
                <w:rFonts w:ascii="Verdana" w:hAnsi="Verdana" w:cs="Arial"/>
                <w:sz w:val="20"/>
              </w:rPr>
            </w:pPr>
          </w:p>
          <w:p w14:paraId="4026F479" w14:textId="77777777" w:rsidR="004D29D8" w:rsidRDefault="004D29D8" w:rsidP="004D29D8">
            <w:pPr>
              <w:rPr>
                <w:rFonts w:ascii="Verdana" w:hAnsi="Verdana" w:cs="Arial"/>
                <w:sz w:val="20"/>
              </w:rPr>
            </w:pPr>
          </w:p>
          <w:p w14:paraId="317D9940" w14:textId="77777777" w:rsidR="004D29D8" w:rsidRDefault="004D29D8" w:rsidP="004D29D8">
            <w:pPr>
              <w:rPr>
                <w:rFonts w:ascii="Verdana" w:hAnsi="Verdana" w:cs="Arial"/>
                <w:sz w:val="20"/>
              </w:rPr>
            </w:pPr>
          </w:p>
          <w:p w14:paraId="3A6CFE13" w14:textId="77777777" w:rsidR="004D29D8" w:rsidRDefault="004D29D8" w:rsidP="004D29D8">
            <w:pPr>
              <w:rPr>
                <w:rFonts w:ascii="Verdana" w:hAnsi="Verdana" w:cs="Arial"/>
                <w:sz w:val="20"/>
              </w:rPr>
            </w:pPr>
          </w:p>
          <w:p w14:paraId="025BDFDF" w14:textId="77777777" w:rsidR="004D29D8" w:rsidRDefault="004D29D8" w:rsidP="004D29D8">
            <w:pPr>
              <w:rPr>
                <w:rFonts w:ascii="Verdana" w:hAnsi="Verdana" w:cs="Arial"/>
                <w:sz w:val="20"/>
              </w:rPr>
            </w:pPr>
          </w:p>
          <w:p w14:paraId="19A80DA2" w14:textId="77777777" w:rsidR="004D29D8" w:rsidRDefault="004D29D8" w:rsidP="004D29D8">
            <w:pPr>
              <w:rPr>
                <w:rFonts w:ascii="Verdana" w:hAnsi="Verdana" w:cs="Arial"/>
                <w:sz w:val="20"/>
              </w:rPr>
            </w:pPr>
          </w:p>
          <w:p w14:paraId="5F1FCC5B" w14:textId="77777777" w:rsidR="004D29D8" w:rsidRDefault="004D29D8" w:rsidP="004D29D8">
            <w:pPr>
              <w:rPr>
                <w:rFonts w:ascii="Verdana" w:hAnsi="Verdana" w:cs="Arial"/>
                <w:sz w:val="20"/>
              </w:rPr>
            </w:pPr>
          </w:p>
        </w:tc>
      </w:tr>
      <w:tr w:rsidR="004D29D8" w14:paraId="1939ADC6" w14:textId="77777777" w:rsidTr="004D29D8">
        <w:trPr>
          <w:gridBefore w:val="1"/>
          <w:gridAfter w:val="2"/>
          <w:wBefore w:w="204" w:type="dxa"/>
          <w:wAfter w:w="6056" w:type="dxa"/>
          <w:cantSplit/>
          <w:trHeight w:val="300"/>
        </w:trPr>
        <w:tc>
          <w:tcPr>
            <w:tcW w:w="8573" w:type="dxa"/>
            <w:gridSpan w:val="23"/>
            <w:vMerge w:val="restart"/>
            <w:shd w:val="clear" w:color="auto" w:fill="auto"/>
            <w:tcMar>
              <w:top w:w="0" w:type="dxa"/>
              <w:left w:w="108" w:type="dxa"/>
              <w:bottom w:w="0" w:type="dxa"/>
              <w:right w:w="108" w:type="dxa"/>
            </w:tcMar>
            <w:vAlign w:val="center"/>
          </w:tcPr>
          <w:p w14:paraId="64255807" w14:textId="77777777" w:rsidR="004D29D8" w:rsidRDefault="004D29D8" w:rsidP="004D29D8">
            <w:pPr>
              <w:rPr>
                <w:rFonts w:ascii="Verdana" w:hAnsi="Verdana" w:cs="Arial"/>
                <w:b/>
                <w:i/>
                <w:sz w:val="20"/>
              </w:rPr>
            </w:pPr>
          </w:p>
          <w:p w14:paraId="60250741" w14:textId="77777777" w:rsidR="004D29D8" w:rsidRDefault="004D29D8" w:rsidP="004D29D8">
            <w:pPr>
              <w:rPr>
                <w:rFonts w:ascii="Verdana" w:hAnsi="Verdana" w:cs="Arial"/>
                <w:b/>
                <w:i/>
                <w:sz w:val="20"/>
              </w:rPr>
            </w:pPr>
          </w:p>
          <w:p w14:paraId="4019FD9B" w14:textId="5DA937E2" w:rsidR="004D29D8" w:rsidRDefault="004D29D8" w:rsidP="004D29D8">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64D224ED" w14:textId="77777777" w:rsidR="004D29D8" w:rsidRDefault="004D29D8" w:rsidP="004D29D8">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4D29D8" w:rsidRDefault="004D29D8" w:rsidP="004D29D8">
            <w:pPr>
              <w:rPr>
                <w:rFonts w:ascii="Verdana" w:hAnsi="Verdana" w:cs="Arial"/>
                <w:i/>
                <w:sz w:val="20"/>
              </w:rPr>
            </w:pPr>
          </w:p>
          <w:p w14:paraId="6860D519" w14:textId="65DBFFB0" w:rsidR="004D29D8" w:rsidRPr="008C307D" w:rsidRDefault="004D29D8" w:rsidP="004D29D8">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4D29D8" w:rsidRPr="006E4EE9" w:rsidRDefault="004D29D8" w:rsidP="004D29D8">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8"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9"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 w:id="1">
    <w:p w14:paraId="02509547" w14:textId="77777777" w:rsidR="004D29D8" w:rsidRPr="00F03CAC" w:rsidRDefault="004D29D8" w:rsidP="00F03CAC">
      <w:pPr>
        <w:pStyle w:val="FootnoteText"/>
        <w:rPr>
          <w:sz w:val="16"/>
          <w:szCs w:val="16"/>
        </w:rPr>
      </w:pPr>
      <w:r>
        <w:rPr>
          <w:rStyle w:val="FootnoteReference"/>
        </w:rPr>
        <w:footnoteRef/>
      </w:r>
      <w:r>
        <w:t xml:space="preserve"> </w:t>
      </w:r>
      <w:r w:rsidRPr="00F03CAC">
        <w:rPr>
          <w:sz w:val="16"/>
          <w:szCs w:val="16"/>
        </w:rPr>
        <w:t>Paragraph: 010 Reference ID: 2a-010-20201216 Revision date: 16 12 2020</w:t>
      </w:r>
    </w:p>
  </w:footnote>
  <w:footnote w:id="2">
    <w:p w14:paraId="687B78F1" w14:textId="77777777" w:rsidR="004D29D8" w:rsidRPr="00A91ACA" w:rsidRDefault="004D29D8" w:rsidP="00A91ACA">
      <w:pPr>
        <w:pStyle w:val="FootnoteText"/>
        <w:rPr>
          <w:sz w:val="16"/>
          <w:szCs w:val="16"/>
        </w:rPr>
      </w:pPr>
      <w:r>
        <w:rPr>
          <w:rStyle w:val="FootnoteReference"/>
        </w:rPr>
        <w:footnoteRef/>
      </w:r>
      <w:r>
        <w:t xml:space="preserve"> </w:t>
      </w:r>
      <w:r w:rsidRPr="00A91ACA">
        <w:rPr>
          <w:sz w:val="16"/>
          <w:szCs w:val="16"/>
        </w:rPr>
        <w:t xml:space="preserve">West Midlands SRFI Employment Issues Response Paper – Labour Supply, Stantec, May 2020 </w:t>
      </w:r>
    </w:p>
  </w:footnote>
  <w:footnote w:id="3">
    <w:p w14:paraId="63DB9F93" w14:textId="77777777" w:rsidR="004D29D8" w:rsidRDefault="004D29D8" w:rsidP="004A7644">
      <w:pPr>
        <w:pStyle w:val="FootnoteText"/>
      </w:pPr>
      <w:r>
        <w:rPr>
          <w:rStyle w:val="FootnoteReference"/>
        </w:rPr>
        <w:footnoteRef/>
      </w:r>
      <w:r>
        <w:t xml:space="preserve"> </w:t>
      </w:r>
      <w:r w:rsidRPr="004A7644">
        <w:rPr>
          <w:sz w:val="16"/>
          <w:szCs w:val="16"/>
        </w:rPr>
        <w:t>Draft Black Country Plan 2039 (Regulation 18) August 2021, paragraph 3.21</w:t>
      </w:r>
      <w:r>
        <w:t xml:space="preserve">  </w:t>
      </w:r>
    </w:p>
  </w:footnote>
  <w:footnote w:id="4">
    <w:p w14:paraId="7B85BC11" w14:textId="77777777" w:rsidR="004D29D8" w:rsidRPr="00F66014" w:rsidRDefault="004D29D8">
      <w:pPr>
        <w:pStyle w:val="FootnoteText"/>
        <w:rPr>
          <w:sz w:val="16"/>
          <w:szCs w:val="16"/>
          <w:lang w:val="en-GB"/>
        </w:rPr>
      </w:pPr>
      <w:r>
        <w:rPr>
          <w:rStyle w:val="FootnoteReference"/>
        </w:rPr>
        <w:footnoteRef/>
      </w:r>
      <w:r>
        <w:t xml:space="preserve"> </w:t>
      </w:r>
      <w:r w:rsidRPr="00F66014">
        <w:rPr>
          <w:sz w:val="16"/>
          <w:szCs w:val="16"/>
        </w:rPr>
        <w:t>ONS</w:t>
      </w:r>
      <w:r>
        <w:t xml:space="preserve">, </w:t>
      </w:r>
      <w:r w:rsidRPr="00F66014">
        <w:rPr>
          <w:sz w:val="16"/>
          <w:szCs w:val="16"/>
        </w:rPr>
        <w:t>Internal migration - Matrices of moves between English and Welsh local authorities, English regions, Scotland and Northern Ireland, year ending June 2020</w:t>
      </w:r>
    </w:p>
  </w:footnote>
  <w:footnote w:id="5">
    <w:p w14:paraId="548CC712" w14:textId="77777777" w:rsidR="004D29D8" w:rsidRPr="00D71DB0" w:rsidRDefault="004D29D8">
      <w:pPr>
        <w:pStyle w:val="FootnoteText"/>
        <w:rPr>
          <w:lang w:val="en-GB"/>
        </w:rPr>
      </w:pPr>
      <w:r>
        <w:rPr>
          <w:rStyle w:val="FootnoteReference"/>
        </w:rPr>
        <w:footnoteRef/>
      </w:r>
      <w:r>
        <w:t xml:space="preserve"> </w:t>
      </w:r>
      <w:r w:rsidRPr="00D71DB0">
        <w:rPr>
          <w:sz w:val="16"/>
          <w:szCs w:val="16"/>
        </w:rPr>
        <w:t>WU01UK - Location of usual residence and place of work by sex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35B3E"/>
    <w:rsid w:val="00187168"/>
    <w:rsid w:val="002142D1"/>
    <w:rsid w:val="00224DF3"/>
    <w:rsid w:val="002C5233"/>
    <w:rsid w:val="0034447A"/>
    <w:rsid w:val="004D29D8"/>
    <w:rsid w:val="0051297A"/>
    <w:rsid w:val="006E4EE9"/>
    <w:rsid w:val="008318A2"/>
    <w:rsid w:val="00847E98"/>
    <w:rsid w:val="008C307D"/>
    <w:rsid w:val="008F5991"/>
    <w:rsid w:val="009107B9"/>
    <w:rsid w:val="00A951E1"/>
    <w:rsid w:val="00AE2F13"/>
    <w:rsid w:val="00C96CB2"/>
    <w:rsid w:val="00D43844"/>
    <w:rsid w:val="00E15E93"/>
    <w:rsid w:val="00E30A9E"/>
    <w:rsid w:val="00F3197C"/>
    <w:rsid w:val="00F51D31"/>
    <w:rsid w:val="00FD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customStyle="1" w:styleId="TableParagraph">
    <w:name w:val="Table Paragraph"/>
    <w:basedOn w:val="Normal"/>
    <w:uiPriority w:val="1"/>
    <w:qFormat/>
    <w:rsid w:val="004D29D8"/>
    <w:pPr>
      <w:widowControl w:val="0"/>
      <w:suppressAutoHyphens w:val="0"/>
      <w:autoSpaceDE w:val="0"/>
      <w:textAlignment w:val="auto"/>
    </w:pPr>
    <w:rPr>
      <w:rFonts w:ascii="Verdana" w:eastAsia="Verdana" w:hAnsi="Verdana" w:cs="Verdana"/>
      <w:sz w:val="22"/>
      <w:szCs w:val="22"/>
      <w:lang w:val="en-US" w:eastAsia="en-US"/>
    </w:rPr>
  </w:style>
  <w:style w:type="paragraph" w:styleId="FootnoteText">
    <w:name w:val="footnote text"/>
    <w:basedOn w:val="Normal"/>
    <w:link w:val="FootnoteTextChar"/>
    <w:uiPriority w:val="99"/>
    <w:semiHidden/>
    <w:unhideWhenUsed/>
    <w:rsid w:val="004D29D8"/>
    <w:pPr>
      <w:widowControl w:val="0"/>
      <w:suppressAutoHyphens w:val="0"/>
      <w:autoSpaceDE w:val="0"/>
      <w:textAlignment w:val="auto"/>
    </w:pPr>
    <w:rPr>
      <w:rFonts w:ascii="Verdana" w:eastAsia="Verdana" w:hAnsi="Verdana" w:cs="Verdana"/>
      <w:sz w:val="20"/>
      <w:szCs w:val="20"/>
      <w:lang w:val="en-US" w:eastAsia="en-US"/>
    </w:rPr>
  </w:style>
  <w:style w:type="character" w:customStyle="1" w:styleId="FootnoteTextChar">
    <w:name w:val="Footnote Text Char"/>
    <w:basedOn w:val="DefaultParagraphFont"/>
    <w:link w:val="FootnoteText"/>
    <w:uiPriority w:val="99"/>
    <w:semiHidden/>
    <w:rsid w:val="004D29D8"/>
    <w:rPr>
      <w:rFonts w:ascii="Verdana" w:eastAsia="Verdana" w:hAnsi="Verdana" w:cs="Verdana"/>
      <w:sz w:val="20"/>
      <w:szCs w:val="20"/>
      <w:lang w:val="en-US"/>
    </w:rPr>
  </w:style>
  <w:style w:type="character" w:styleId="FootnoteReference">
    <w:name w:val="footnote reference"/>
    <w:basedOn w:val="DefaultParagraphFont"/>
    <w:uiPriority w:val="21"/>
    <w:semiHidden/>
    <w:rsid w:val="004D29D8"/>
    <w:rPr>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affs.gov.uk/planning/strategic-planning--data-protection.cfm" TargetMode="External"/><Relationship Id="rId3" Type="http://schemas.openxmlformats.org/officeDocument/2006/relationships/webSettings" Target="webSettings.xml"/><Relationship Id="rId7" Type="http://schemas.openxmlformats.org/officeDocument/2006/relationships/hyperlink" Target="mailto:paul.hill@rpsgrou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localplans@sstaff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Oakley, Darren</cp:lastModifiedBy>
  <cp:revision>5</cp:revision>
  <dcterms:created xsi:type="dcterms:W3CDTF">2024-05-22T10:09:00Z</dcterms:created>
  <dcterms:modified xsi:type="dcterms:W3CDTF">2024-05-24T09:16:00Z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