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16"/>
        <w:gridCol w:w="3174"/>
        <w:gridCol w:w="216"/>
        <w:gridCol w:w="216"/>
        <w:gridCol w:w="216"/>
        <w:gridCol w:w="216"/>
        <w:gridCol w:w="216"/>
        <w:gridCol w:w="216"/>
        <w:gridCol w:w="216"/>
        <w:gridCol w:w="288"/>
        <w:gridCol w:w="411"/>
        <w:gridCol w:w="216"/>
        <w:gridCol w:w="216"/>
        <w:gridCol w:w="216"/>
        <w:gridCol w:w="216"/>
        <w:gridCol w:w="216"/>
        <w:gridCol w:w="216"/>
        <w:gridCol w:w="216"/>
        <w:gridCol w:w="216"/>
        <w:gridCol w:w="252"/>
        <w:gridCol w:w="238"/>
        <w:gridCol w:w="390"/>
        <w:gridCol w:w="278"/>
        <w:gridCol w:w="733"/>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4C71D480"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w:t>
            </w:r>
            <w:r w:rsidR="00381CAA">
              <w:rPr>
                <w:rFonts w:ascii="Verdana" w:hAnsi="Verdana" w:cs="Arial"/>
                <w:b/>
                <w:bCs/>
                <w:sz w:val="20"/>
              </w:rPr>
              <w:t>23</w:t>
            </w:r>
            <w:r w:rsidRPr="006E4EE9">
              <w:rPr>
                <w:rFonts w:ascii="Verdana" w:hAnsi="Verdana" w:cs="Arial"/>
                <w:b/>
                <w:bCs/>
                <w:sz w:val="20"/>
              </w:rPr>
              <w:t xml:space="preserve"> - 20</w:t>
            </w:r>
            <w:r w:rsidR="00381CAA">
              <w:rPr>
                <w:rFonts w:ascii="Verdana" w:hAnsi="Verdana" w:cs="Arial"/>
                <w:b/>
                <w:bCs/>
                <w:sz w:val="20"/>
              </w:rPr>
              <w:t>41</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2DAEF698"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12 noon</w:t>
            </w:r>
            <w:r w:rsidR="006E4EE9" w:rsidRPr="006E4EE9">
              <w:rPr>
                <w:rFonts w:ascii="Verdana" w:hAnsi="Verdana" w:cs="Arial"/>
                <w:b/>
                <w:bCs/>
                <w:sz w:val="18"/>
                <w:szCs w:val="18"/>
              </w:rPr>
              <w:t xml:space="preserve"> Friday 3</w:t>
            </w:r>
            <w:r w:rsidR="00381CAA">
              <w:rPr>
                <w:rFonts w:ascii="Verdana" w:hAnsi="Verdana" w:cs="Arial"/>
                <w:b/>
                <w:bCs/>
                <w:sz w:val="18"/>
                <w:szCs w:val="18"/>
              </w:rPr>
              <w:t>1</w:t>
            </w:r>
            <w:r w:rsidR="006E4EE9" w:rsidRPr="006E4EE9">
              <w:rPr>
                <w:rFonts w:ascii="Verdana" w:hAnsi="Verdana" w:cs="Arial"/>
                <w:b/>
                <w:bCs/>
                <w:sz w:val="18"/>
                <w:szCs w:val="18"/>
              </w:rPr>
              <w:t xml:space="preserve"> </w:t>
            </w:r>
            <w:r w:rsidR="00381CAA">
              <w:rPr>
                <w:rFonts w:ascii="Verdana" w:hAnsi="Verdana" w:cs="Arial"/>
                <w:b/>
                <w:bCs/>
                <w:sz w:val="18"/>
                <w:szCs w:val="18"/>
              </w:rPr>
              <w:t>May</w:t>
            </w:r>
            <w:r w:rsidR="006E4EE9" w:rsidRPr="006E4EE9">
              <w:rPr>
                <w:rFonts w:ascii="Verdana" w:hAnsi="Verdana" w:cs="Arial"/>
                <w:b/>
                <w:bCs/>
                <w:sz w:val="18"/>
                <w:szCs w:val="18"/>
              </w:rPr>
              <w:t xml:space="preserve"> 202</w:t>
            </w:r>
            <w:r w:rsidR="00381CAA">
              <w:rPr>
                <w:rFonts w:ascii="Verdana" w:hAnsi="Verdana" w:cs="Arial"/>
                <w:b/>
                <w:bCs/>
                <w:sz w:val="18"/>
                <w:szCs w:val="18"/>
              </w:rPr>
              <w:t>4</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2555E73"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r w:rsidR="00003067" w:rsidRPr="00623BE9">
              <w:rPr>
                <w:rFonts w:ascii="Verdana" w:hAnsi="Verdana" w:cs="Arial"/>
                <w:sz w:val="18"/>
                <w:szCs w:val="18"/>
              </w:rPr>
              <w:t>Mr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CB10B06" w:rsidR="00AE2F13" w:rsidRPr="00623BE9" w:rsidRDefault="00AE2F13" w:rsidP="00644675">
            <w:pPr>
              <w:rPr>
                <w:rFonts w:ascii="Verdana" w:hAnsi="Verdana" w:cs="Arial"/>
                <w:sz w:val="18"/>
                <w:szCs w:val="18"/>
              </w:rPr>
            </w:pPr>
            <w:r w:rsidRPr="00623BE9">
              <w:rPr>
                <w:rFonts w:ascii="Verdana" w:hAnsi="Verdana" w:cs="Arial"/>
                <w:sz w:val="18"/>
                <w:szCs w:val="18"/>
              </w:rPr>
              <w:t> </w:t>
            </w:r>
            <w:r w:rsidR="00003067">
              <w:rPr>
                <w:rFonts w:ascii="Verdana" w:hAnsi="Verdana" w:cs="Arial"/>
                <w:sz w:val="18"/>
                <w:szCs w:val="18"/>
              </w:rPr>
              <w:t xml:space="preserve">Mr </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Pr="00623BE9" w:rsidRDefault="00AE2F13" w:rsidP="00644675">
            <w:pPr>
              <w:rPr>
                <w:rFonts w:ascii="Verdana" w:hAnsi="Verdana" w:cs="Arial"/>
                <w:sz w:val="18"/>
                <w:szCs w:val="18"/>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26223666"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r w:rsidR="00003067" w:rsidRPr="00623BE9">
              <w:rPr>
                <w:rFonts w:ascii="Verdana" w:hAnsi="Verdana" w:cs="Arial"/>
                <w:sz w:val="18"/>
                <w:szCs w:val="18"/>
              </w:rPr>
              <w:t>Alastair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2B7F7F06" w:rsidR="00AE2F13" w:rsidRPr="00623BE9" w:rsidRDefault="00AE2F13" w:rsidP="00644675">
            <w:pPr>
              <w:rPr>
                <w:rFonts w:ascii="Verdana" w:hAnsi="Verdana" w:cs="Arial"/>
                <w:sz w:val="18"/>
                <w:szCs w:val="18"/>
              </w:rPr>
            </w:pPr>
            <w:r w:rsidRPr="00623BE9">
              <w:rPr>
                <w:rFonts w:ascii="Verdana" w:hAnsi="Verdana" w:cs="Arial"/>
                <w:sz w:val="18"/>
                <w:szCs w:val="18"/>
              </w:rPr>
              <w:t> </w:t>
            </w:r>
            <w:r w:rsidR="00003067">
              <w:rPr>
                <w:rFonts w:ascii="Verdana" w:hAnsi="Verdana" w:cs="Arial"/>
                <w:sz w:val="18"/>
                <w:szCs w:val="18"/>
              </w:rPr>
              <w:t xml:space="preserve">Paul </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Pr="00623BE9" w:rsidRDefault="00AE2F13" w:rsidP="00644675">
            <w:pPr>
              <w:rPr>
                <w:rFonts w:ascii="Verdana" w:hAnsi="Verdana" w:cs="Arial"/>
                <w:sz w:val="18"/>
                <w:szCs w:val="18"/>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4461D550"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r w:rsidR="00003067" w:rsidRPr="00623BE9">
              <w:rPr>
                <w:rFonts w:ascii="Verdana" w:hAnsi="Verdana" w:cs="Arial"/>
                <w:sz w:val="18"/>
                <w:szCs w:val="18"/>
              </w:rPr>
              <w:t>Stewart</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3DBE8A8D" w:rsidR="00AE2F13" w:rsidRPr="00623BE9" w:rsidRDefault="00AE2F13" w:rsidP="00644675">
            <w:pPr>
              <w:rPr>
                <w:rFonts w:ascii="Verdana" w:hAnsi="Verdana" w:cs="Arial"/>
                <w:sz w:val="18"/>
                <w:szCs w:val="18"/>
              </w:rPr>
            </w:pPr>
            <w:r w:rsidRPr="00623BE9">
              <w:rPr>
                <w:rFonts w:ascii="Verdana" w:hAnsi="Verdana" w:cs="Arial"/>
                <w:sz w:val="18"/>
                <w:szCs w:val="18"/>
              </w:rPr>
              <w:t> </w:t>
            </w:r>
            <w:r w:rsidR="00003067">
              <w:rPr>
                <w:rFonts w:ascii="Verdana" w:hAnsi="Verdana" w:cs="Arial"/>
                <w:sz w:val="18"/>
                <w:szCs w:val="18"/>
              </w:rPr>
              <w:t>Hill</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Pr="00623BE9" w:rsidRDefault="00AE2F13" w:rsidP="00644675">
            <w:pPr>
              <w:rPr>
                <w:rFonts w:ascii="Verdana" w:hAnsi="Verdana" w:cs="Arial"/>
                <w:sz w:val="18"/>
                <w:szCs w:val="18"/>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141C742E"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r w:rsidR="00003067" w:rsidRPr="00623BE9">
              <w:rPr>
                <w:rFonts w:ascii="Verdana" w:hAnsi="Verdana" w:cs="Arial"/>
                <w:sz w:val="18"/>
                <w:szCs w:val="18"/>
              </w:rPr>
              <w:t>Planning Manager WM</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799128CC" w:rsidR="00AE2F13" w:rsidRPr="00623BE9" w:rsidRDefault="00AE2F13" w:rsidP="00644675">
            <w:pPr>
              <w:rPr>
                <w:rFonts w:ascii="Verdana" w:hAnsi="Verdana" w:cs="Arial"/>
                <w:sz w:val="18"/>
                <w:szCs w:val="18"/>
              </w:rPr>
            </w:pPr>
            <w:r w:rsidRPr="00623BE9">
              <w:rPr>
                <w:rFonts w:ascii="Verdana" w:hAnsi="Verdana" w:cs="Arial"/>
                <w:sz w:val="18"/>
                <w:szCs w:val="18"/>
              </w:rPr>
              <w:t> </w:t>
            </w:r>
            <w:r w:rsidR="00003067">
              <w:rPr>
                <w:rFonts w:ascii="Verdana" w:hAnsi="Verdana" w:cs="Arial"/>
                <w:sz w:val="18"/>
                <w:szCs w:val="18"/>
              </w:rPr>
              <w:t>Senior Director - Planning</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Pr="00623BE9" w:rsidRDefault="00AE2F13" w:rsidP="00644675">
            <w:pPr>
              <w:rPr>
                <w:rFonts w:ascii="Verdana" w:hAnsi="Verdana" w:cs="Arial"/>
                <w:sz w:val="18"/>
                <w:szCs w:val="18"/>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02038A70"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r w:rsidR="00003067">
              <w:rPr>
                <w:rFonts w:ascii="Verdana" w:hAnsi="Verdana" w:cs="Arial"/>
                <w:sz w:val="18"/>
                <w:szCs w:val="18"/>
              </w:rPr>
              <w:t>Persimmon Homes WM</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6259829F" w:rsidR="00AE2F13" w:rsidRPr="00623BE9" w:rsidRDefault="00AE2F13" w:rsidP="00644675">
            <w:pPr>
              <w:rPr>
                <w:rFonts w:ascii="Verdana" w:hAnsi="Verdana" w:cs="Arial"/>
                <w:sz w:val="18"/>
                <w:szCs w:val="18"/>
              </w:rPr>
            </w:pPr>
            <w:r w:rsidRPr="00623BE9">
              <w:rPr>
                <w:rFonts w:ascii="Verdana" w:hAnsi="Verdana" w:cs="Arial"/>
                <w:sz w:val="18"/>
                <w:szCs w:val="18"/>
              </w:rPr>
              <w:t> </w:t>
            </w:r>
            <w:r w:rsidR="00003067">
              <w:rPr>
                <w:rFonts w:ascii="Verdana" w:hAnsi="Verdana" w:cs="Arial"/>
                <w:sz w:val="18"/>
                <w:szCs w:val="18"/>
              </w:rPr>
              <w:t>RPS</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Pr="00623BE9" w:rsidRDefault="00AE2F13" w:rsidP="00644675">
            <w:pPr>
              <w:rPr>
                <w:rFonts w:ascii="Verdana" w:hAnsi="Verdana" w:cs="Arial"/>
                <w:sz w:val="18"/>
                <w:szCs w:val="18"/>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0B7D68C" w:rsidR="00AE2F13" w:rsidRPr="00623BE9" w:rsidRDefault="00AE2F13" w:rsidP="00644675">
            <w:pPr>
              <w:ind w:left="-3" w:firstLine="3"/>
              <w:rPr>
                <w:rFonts w:ascii="Verdana" w:hAnsi="Verdana" w:cs="Arial"/>
                <w:sz w:val="18"/>
                <w:szCs w:val="18"/>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42810133" w:rsidR="00AE2F13" w:rsidRPr="00623BE9" w:rsidRDefault="00AE2F13" w:rsidP="00644675">
            <w:pPr>
              <w:rPr>
                <w:rFonts w:ascii="Verdana" w:hAnsi="Verdana" w:cs="Arial"/>
                <w:sz w:val="18"/>
                <w:szCs w:val="18"/>
              </w:rPr>
            </w:pPr>
            <w:r w:rsidRPr="00623BE9">
              <w:rPr>
                <w:rFonts w:ascii="Verdana" w:hAnsi="Verdana" w:cs="Arial"/>
                <w:sz w:val="18"/>
                <w:szCs w:val="18"/>
              </w:rPr>
              <w:t> </w:t>
            </w:r>
            <w:r w:rsidR="00003067">
              <w:rPr>
                <w:rFonts w:ascii="Verdana" w:hAnsi="Verdana" w:cs="Arial"/>
                <w:sz w:val="18"/>
                <w:szCs w:val="18"/>
              </w:rPr>
              <w:t>4</w:t>
            </w:r>
            <w:r w:rsidR="00003067" w:rsidRPr="00623BE9">
              <w:rPr>
                <w:rFonts w:ascii="Verdana" w:hAnsi="Verdana" w:cs="Arial"/>
                <w:sz w:val="18"/>
                <w:szCs w:val="18"/>
                <w:vertAlign w:val="superscript"/>
              </w:rPr>
              <w:t>th</w:t>
            </w:r>
            <w:r w:rsidR="00003067">
              <w:rPr>
                <w:rFonts w:ascii="Verdana" w:hAnsi="Verdana" w:cs="Arial"/>
                <w:sz w:val="18"/>
                <w:szCs w:val="18"/>
              </w:rPr>
              <w:t xml:space="preserve"> Floor 1 Newhall St.</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07AEA9EE" w:rsidR="00AE2F13" w:rsidRPr="00623BE9" w:rsidRDefault="00AE2F13" w:rsidP="00644675">
            <w:pPr>
              <w:ind w:left="-3" w:firstLine="3"/>
              <w:rPr>
                <w:rFonts w:ascii="Verdana" w:hAnsi="Verdana" w:cs="Arial"/>
                <w:sz w:val="18"/>
                <w:szCs w:val="18"/>
              </w:rPr>
            </w:pP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Pr="00623BE9" w:rsidRDefault="00AE2F13" w:rsidP="00644675">
            <w:pPr>
              <w:rPr>
                <w:rFonts w:ascii="Verdana" w:hAnsi="Verdana" w:cs="Arial"/>
                <w:sz w:val="18"/>
                <w:szCs w:val="18"/>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52B9C69B" w:rsidR="00AE2F13" w:rsidRPr="00623BE9" w:rsidRDefault="00AE2F13" w:rsidP="00644675">
            <w:pPr>
              <w:ind w:left="-3" w:firstLine="3"/>
              <w:rPr>
                <w:rFonts w:ascii="Verdana" w:hAnsi="Verdana" w:cs="Arial"/>
                <w:sz w:val="18"/>
                <w:szCs w:val="18"/>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2974FBE2" w:rsidR="00AE2F13" w:rsidRPr="00623BE9" w:rsidRDefault="00AE2F13" w:rsidP="00644675">
            <w:pPr>
              <w:rPr>
                <w:rFonts w:ascii="Verdana" w:hAnsi="Verdana" w:cs="Arial"/>
                <w:sz w:val="18"/>
                <w:szCs w:val="18"/>
              </w:rPr>
            </w:pPr>
            <w:r w:rsidRPr="00623BE9">
              <w:rPr>
                <w:rFonts w:ascii="Verdana" w:hAnsi="Verdana" w:cs="Arial"/>
                <w:sz w:val="18"/>
                <w:szCs w:val="18"/>
              </w:rPr>
              <w:t> </w:t>
            </w:r>
            <w:r w:rsidR="00003067">
              <w:rPr>
                <w:rFonts w:ascii="Verdana" w:hAnsi="Verdana" w:cs="Arial"/>
                <w:sz w:val="18"/>
                <w:szCs w:val="18"/>
              </w:rPr>
              <w:t>Birmingham</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3C051C86" w:rsidR="00AE2F13" w:rsidRPr="00623BE9" w:rsidRDefault="00AE2F13" w:rsidP="00644675">
            <w:pPr>
              <w:ind w:left="-3" w:firstLine="3"/>
              <w:rPr>
                <w:rFonts w:ascii="Verdana" w:hAnsi="Verdana" w:cs="Arial"/>
                <w:sz w:val="18"/>
                <w:szCs w:val="18"/>
              </w:rPr>
            </w:pP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Pr="00623BE9" w:rsidRDefault="00AE2F13" w:rsidP="00644675">
            <w:pPr>
              <w:rPr>
                <w:rFonts w:ascii="Verdana" w:hAnsi="Verdana" w:cs="Arial"/>
                <w:sz w:val="18"/>
                <w:szCs w:val="18"/>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2B240FF5" w:rsidR="00AE2F13" w:rsidRPr="00623BE9" w:rsidRDefault="00AE2F13" w:rsidP="00644675">
            <w:pPr>
              <w:ind w:left="-3" w:firstLine="3"/>
              <w:rPr>
                <w:rFonts w:ascii="Verdana" w:hAnsi="Verdana" w:cs="Arial"/>
                <w:sz w:val="18"/>
                <w:szCs w:val="18"/>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Pr="00623BE9" w:rsidRDefault="00AE2F13" w:rsidP="00644675">
            <w:pPr>
              <w:rPr>
                <w:rFonts w:ascii="Verdana" w:hAnsi="Verdana" w:cs="Arial"/>
                <w:sz w:val="18"/>
                <w:szCs w:val="18"/>
              </w:rPr>
            </w:pPr>
            <w:r w:rsidRPr="00623BE9">
              <w:rPr>
                <w:rFonts w:ascii="Verdana" w:hAnsi="Verdana" w:cs="Arial"/>
                <w:sz w:val="18"/>
                <w:szCs w:val="18"/>
              </w:rPr>
              <w:t> </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2184E43A" w:rsidR="00AE2F13" w:rsidRPr="00623BE9" w:rsidRDefault="00AE2F13" w:rsidP="00644675">
            <w:pPr>
              <w:ind w:left="-3" w:firstLine="3"/>
              <w:rPr>
                <w:rFonts w:ascii="Verdana" w:hAnsi="Verdana" w:cs="Arial"/>
                <w:sz w:val="18"/>
                <w:szCs w:val="18"/>
              </w:rPr>
            </w:pP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Pr="00623BE9" w:rsidRDefault="00AE2F13" w:rsidP="00644675">
            <w:pPr>
              <w:rPr>
                <w:rFonts w:ascii="Verdana" w:hAnsi="Verdana" w:cs="Arial"/>
                <w:sz w:val="18"/>
                <w:szCs w:val="18"/>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02343DB8" w:rsidR="00AE2F13" w:rsidRPr="00623BE9" w:rsidRDefault="00AE2F13" w:rsidP="00644675">
            <w:pPr>
              <w:ind w:left="-3" w:firstLine="3"/>
              <w:rPr>
                <w:rFonts w:ascii="Verdana" w:hAnsi="Verdana" w:cs="Arial"/>
                <w:sz w:val="18"/>
                <w:szCs w:val="18"/>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Pr="00623BE9" w:rsidRDefault="00AE2F13" w:rsidP="00644675">
            <w:pPr>
              <w:rPr>
                <w:rFonts w:ascii="Verdana" w:hAnsi="Verdana" w:cs="Arial"/>
                <w:sz w:val="18"/>
                <w:szCs w:val="18"/>
              </w:rPr>
            </w:pPr>
            <w:r w:rsidRPr="00623BE9">
              <w:rPr>
                <w:rFonts w:ascii="Verdana" w:hAnsi="Verdana" w:cs="Arial"/>
                <w:sz w:val="18"/>
                <w:szCs w:val="18"/>
              </w:rPr>
              <w:t> </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29307B9C" w:rsidR="00AE2F13" w:rsidRPr="00623BE9" w:rsidRDefault="00AE2F13" w:rsidP="00644675">
            <w:pPr>
              <w:ind w:left="-3" w:firstLine="3"/>
              <w:rPr>
                <w:rFonts w:ascii="Verdana" w:hAnsi="Verdana" w:cs="Arial"/>
                <w:sz w:val="18"/>
                <w:szCs w:val="18"/>
              </w:rPr>
            </w:pP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Pr="00623BE9" w:rsidRDefault="00AE2F13" w:rsidP="00644675">
            <w:pPr>
              <w:rPr>
                <w:rFonts w:ascii="Verdana" w:hAnsi="Verdana" w:cs="Arial"/>
                <w:sz w:val="18"/>
                <w:szCs w:val="18"/>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4402D941" w:rsidR="00AE2F13" w:rsidRPr="00623BE9" w:rsidRDefault="00AE2F13" w:rsidP="00644675">
            <w:pPr>
              <w:ind w:left="-3" w:firstLine="3"/>
              <w:rPr>
                <w:rFonts w:ascii="Verdana" w:hAnsi="Verdana" w:cs="Arial"/>
                <w:sz w:val="18"/>
                <w:szCs w:val="18"/>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5F65F4A" w:rsidR="00AE2F13" w:rsidRPr="00623BE9" w:rsidRDefault="00AE2F13" w:rsidP="00644675">
            <w:pPr>
              <w:rPr>
                <w:rFonts w:ascii="Verdana" w:hAnsi="Verdana" w:cs="Arial"/>
                <w:sz w:val="18"/>
                <w:szCs w:val="18"/>
              </w:rPr>
            </w:pPr>
            <w:r w:rsidRPr="00623BE9">
              <w:rPr>
                <w:rFonts w:ascii="Verdana" w:hAnsi="Verdana" w:cs="Arial"/>
                <w:sz w:val="18"/>
                <w:szCs w:val="18"/>
              </w:rPr>
              <w:t> </w:t>
            </w:r>
            <w:r w:rsidR="00003067">
              <w:rPr>
                <w:rFonts w:ascii="Verdana" w:hAnsi="Verdana" w:cs="Arial"/>
                <w:sz w:val="18"/>
                <w:szCs w:val="18"/>
              </w:rPr>
              <w:t>B3 3NH</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3C556B54" w:rsidR="00AE2F13" w:rsidRPr="00623BE9" w:rsidRDefault="00AE2F13" w:rsidP="00644675">
            <w:pPr>
              <w:ind w:left="-3" w:firstLine="3"/>
              <w:rPr>
                <w:rFonts w:ascii="Verdana" w:hAnsi="Verdana" w:cs="Arial"/>
                <w:sz w:val="18"/>
                <w:szCs w:val="18"/>
              </w:rPr>
            </w:pP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Pr="00623BE9" w:rsidRDefault="00AE2F13" w:rsidP="00644675">
            <w:pPr>
              <w:rPr>
                <w:rFonts w:ascii="Verdana" w:hAnsi="Verdana" w:cs="Arial"/>
                <w:sz w:val="18"/>
                <w:szCs w:val="18"/>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BFF565E" w:rsidR="00AE2F13" w:rsidRPr="00623BE9" w:rsidRDefault="00AE2F13" w:rsidP="00644675">
            <w:pPr>
              <w:rPr>
                <w:rFonts w:ascii="Verdana" w:hAnsi="Verdana" w:cs="Arial"/>
                <w:sz w:val="18"/>
                <w:szCs w:val="18"/>
              </w:rPr>
            </w:pPr>
            <w:r w:rsidRPr="00623BE9">
              <w:rPr>
                <w:rFonts w:ascii="Verdana" w:hAnsi="Verdana" w:cs="Arial"/>
                <w:sz w:val="18"/>
                <w:szCs w:val="18"/>
              </w:rPr>
              <w:t> </w:t>
            </w:r>
            <w:r w:rsidR="00003067">
              <w:rPr>
                <w:rFonts w:ascii="Verdana" w:hAnsi="Verdana" w:cs="Arial"/>
                <w:sz w:val="18"/>
                <w:szCs w:val="18"/>
              </w:rPr>
              <w:t>0121 622 8520</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Pr="00623BE9" w:rsidRDefault="00AE2F13" w:rsidP="00644675">
            <w:pPr>
              <w:rPr>
                <w:rFonts w:ascii="Verdana" w:hAnsi="Verdana" w:cs="Arial"/>
                <w:sz w:val="18"/>
                <w:szCs w:val="18"/>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Pr="00623BE9" w:rsidRDefault="00AE2F13" w:rsidP="00644675">
            <w:pPr>
              <w:ind w:left="-3" w:firstLine="3"/>
              <w:rPr>
                <w:rFonts w:ascii="Verdana" w:hAnsi="Verdana" w:cs="Arial"/>
                <w:sz w:val="18"/>
                <w:szCs w:val="18"/>
              </w:rPr>
            </w:pPr>
            <w:r w:rsidRPr="00623BE9">
              <w:rPr>
                <w:rFonts w:ascii="Verdana" w:hAnsi="Verdana" w:cs="Arial"/>
                <w:sz w:val="18"/>
                <w:szCs w:val="18"/>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2BFC951A" w:rsidR="00AE2F13" w:rsidRPr="00623BE9" w:rsidRDefault="00AE2F13" w:rsidP="00644675">
            <w:pPr>
              <w:rPr>
                <w:rFonts w:ascii="Verdana" w:hAnsi="Verdana" w:cs="Arial"/>
                <w:sz w:val="18"/>
                <w:szCs w:val="18"/>
              </w:rPr>
            </w:pPr>
            <w:r w:rsidRPr="00623BE9">
              <w:rPr>
                <w:rFonts w:ascii="Verdana" w:hAnsi="Verdana" w:cs="Arial"/>
                <w:sz w:val="18"/>
                <w:szCs w:val="18"/>
              </w:rPr>
              <w:t> </w:t>
            </w:r>
            <w:hyperlink r:id="rId8" w:history="1">
              <w:r w:rsidR="00623BE9" w:rsidRPr="005F56AD">
                <w:rPr>
                  <w:rStyle w:val="Hyperlink"/>
                  <w:rFonts w:ascii="Verdana" w:hAnsi="Verdana" w:cs="Arial"/>
                  <w:sz w:val="18"/>
                  <w:szCs w:val="18"/>
                </w:rPr>
                <w:t>Paul.hill@rpsgroup.com</w:t>
              </w:r>
            </w:hyperlink>
            <w:r w:rsidR="00623BE9">
              <w:rPr>
                <w:rFonts w:ascii="Verdana" w:hAnsi="Verdana" w:cs="Arial"/>
                <w:sz w:val="18"/>
                <w:szCs w:val="18"/>
              </w:rPr>
              <w:t xml:space="preserve"> </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lastRenderedPageBreak/>
              <w:t>(where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53F06129" w:rsidR="00AE2F13" w:rsidRDefault="005D0E5D" w:rsidP="00644675">
            <w:pPr>
              <w:rPr>
                <w:rFonts w:ascii="Verdana" w:hAnsi="Verdana" w:cs="Arial"/>
                <w:sz w:val="20"/>
              </w:rPr>
            </w:pPr>
            <w:r>
              <w:rPr>
                <w:rFonts w:ascii="Verdana" w:hAnsi="Verdana" w:cs="Arial"/>
                <w:sz w:val="20"/>
              </w:rPr>
              <w:t>SA</w:t>
            </w: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7777777" w:rsidR="00AE2F13" w:rsidRDefault="00AE2F13" w:rsidP="00644675">
            <w:pPr>
              <w:rPr>
                <w:rFonts w:ascii="Verdana" w:hAnsi="Verdana" w:cs="Arial"/>
                <w:sz w:val="20"/>
              </w:rPr>
            </w:pP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p>
          <w:p w14:paraId="72686C68" w14:textId="5B902791" w:rsidR="00AE2F13" w:rsidRDefault="00AE2F13" w:rsidP="00644675">
            <w:r>
              <w:rPr>
                <w:rFonts w:ascii="Verdana" w:hAnsi="Verdana" w:cs="Arial"/>
                <w:sz w:val="20"/>
              </w:rPr>
              <w:t>4. Do you consider the Local Plan is  :</w:t>
            </w:r>
          </w:p>
        </w:tc>
      </w:tr>
      <w:tr w:rsidR="00AE2F13" w14:paraId="379B48A5" w14:textId="77777777" w:rsidTr="009107B9">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0B20819" w14:textId="77777777" w:rsidR="00AE2F13" w:rsidRDefault="00AE2F13" w:rsidP="0071129F">
            <w:pPr>
              <w:rPr>
                <w:rFonts w:ascii="Verdana" w:hAnsi="Verdana" w:cs="Arial"/>
                <w:sz w:val="20"/>
              </w:rPr>
            </w:pP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1A87CAD7" w:rsidR="00AE2F13" w:rsidRDefault="0071129F" w:rsidP="00644675">
            <w:pPr>
              <w:rPr>
                <w:rFonts w:ascii="Verdana" w:hAnsi="Verdana" w:cs="Arial"/>
                <w:sz w:val="20"/>
              </w:rPr>
            </w:pPr>
            <w:r>
              <w:rPr>
                <w:rFonts w:ascii="Verdana" w:hAnsi="Verdana" w:cs="Arial"/>
                <w:sz w:val="20"/>
              </w:rPr>
              <w:sym w:font="Wingdings" w:char="F0FC"/>
            </w:r>
          </w:p>
        </w:tc>
      </w:tr>
      <w:tr w:rsidR="00AE2F13" w14:paraId="4BC6F467" w14:textId="77777777" w:rsidTr="009107B9">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9107B9">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AE2F13" w:rsidRDefault="00AE2F13" w:rsidP="00644675">
            <w:pPr>
              <w:rPr>
                <w:rFonts w:ascii="Verdana" w:hAnsi="Verdana" w:cs="Arial"/>
                <w:sz w:val="20"/>
              </w:rPr>
            </w:pPr>
          </w:p>
          <w:p w14:paraId="3C71D4B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66F8541C" w:rsidR="00AE2F13" w:rsidRDefault="005D0E5D" w:rsidP="00644675">
            <w:pPr>
              <w:rPr>
                <w:rFonts w:ascii="Verdana" w:hAnsi="Verdana" w:cs="Arial"/>
                <w:sz w:val="20"/>
              </w:rPr>
            </w:pPr>
            <w:r>
              <w:rPr>
                <w:rFonts w:ascii="Verdana" w:hAnsi="Verdana" w:cs="Arial"/>
                <w:sz w:val="20"/>
              </w:rPr>
              <w:sym w:font="Wingdings" w:char="F0FC"/>
            </w:r>
          </w:p>
          <w:p w14:paraId="5571C24D" w14:textId="77777777" w:rsidR="00AE2F13" w:rsidRDefault="00AE2F13" w:rsidP="00644675">
            <w:pPr>
              <w:rPr>
                <w:rFonts w:ascii="Verdana" w:hAnsi="Verdana" w:cs="Arial"/>
                <w:sz w:val="20"/>
              </w:rPr>
            </w:pP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AE2F13" w:rsidRDefault="00AE2F13" w:rsidP="00AE2F13"/>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4B0A6954" w:rsidR="00AE2F13" w:rsidRPr="00623BE9" w:rsidRDefault="005D0E5D" w:rsidP="00623BE9">
            <w:pPr>
              <w:spacing w:line="276" w:lineRule="auto"/>
              <w:jc w:val="both"/>
              <w:rPr>
                <w:rFonts w:ascii="Verdana" w:hAnsi="Verdana" w:cs="Arial"/>
                <w:b/>
                <w:bCs/>
                <w:sz w:val="20"/>
                <w:szCs w:val="20"/>
              </w:rPr>
            </w:pPr>
            <w:r w:rsidRPr="00623BE9">
              <w:rPr>
                <w:rFonts w:ascii="Verdana" w:hAnsi="Verdana" w:cs="Arial"/>
                <w:b/>
                <w:bCs/>
                <w:sz w:val="20"/>
                <w:szCs w:val="20"/>
              </w:rPr>
              <w:t>Sustainability Appraisal</w:t>
            </w:r>
          </w:p>
          <w:p w14:paraId="0A0A9223" w14:textId="4456B013" w:rsidR="005D0E5D" w:rsidRPr="00623BE9" w:rsidRDefault="005D0E5D"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This submission provides a response on the sustainability appraisal of ‘Land at Brookhouse Lane, Featherstone’ (SHELAA site ref. 170) being promoted by Persimmon Homes West Midlands. RPS notes that the Regulation 19 version of the Sustainability Appraisal </w:t>
            </w:r>
            <w:r w:rsidR="00FE19C4" w:rsidRPr="00623BE9">
              <w:rPr>
                <w:rFonts w:ascii="Verdana" w:hAnsi="Verdana" w:cs="Arial"/>
                <w:sz w:val="20"/>
                <w:szCs w:val="20"/>
              </w:rPr>
              <w:t xml:space="preserve">(‘Reg 19 SA’) </w:t>
            </w:r>
            <w:r w:rsidRPr="00623BE9">
              <w:rPr>
                <w:rFonts w:ascii="Verdana" w:hAnsi="Verdana" w:cs="Arial"/>
                <w:sz w:val="20"/>
                <w:szCs w:val="20"/>
              </w:rPr>
              <w:t>does not include any specific appraisal of Site 170. Therefore, the soundness objections raised here are made in response to the Sustainability Appraisal of the South Staffordshire Local Plan Review Preferred Options Plan Regulation 18 (III) SA Report, August 2021 (‘SAPOP’), which does include the site-specific appraisal of the site.</w:t>
            </w:r>
          </w:p>
          <w:p w14:paraId="69F8F4A2" w14:textId="114E065F" w:rsidR="00AE2F13" w:rsidRPr="00623BE9" w:rsidRDefault="00AE2F13" w:rsidP="00623BE9">
            <w:pPr>
              <w:spacing w:line="276" w:lineRule="auto"/>
              <w:jc w:val="both"/>
              <w:rPr>
                <w:rFonts w:ascii="Verdana" w:hAnsi="Verdana" w:cs="Arial"/>
                <w:sz w:val="20"/>
                <w:szCs w:val="20"/>
              </w:rPr>
            </w:pPr>
          </w:p>
          <w:p w14:paraId="49BB2EC4" w14:textId="77777777" w:rsidR="005D0E5D" w:rsidRPr="00623BE9" w:rsidRDefault="005D0E5D" w:rsidP="00623BE9">
            <w:pPr>
              <w:spacing w:line="276" w:lineRule="auto"/>
              <w:jc w:val="both"/>
              <w:rPr>
                <w:rFonts w:ascii="Verdana" w:hAnsi="Verdana" w:cs="Arial"/>
                <w:b/>
                <w:bCs/>
                <w:iCs/>
                <w:sz w:val="20"/>
                <w:szCs w:val="20"/>
              </w:rPr>
            </w:pPr>
            <w:r w:rsidRPr="00623BE9">
              <w:rPr>
                <w:rFonts w:ascii="Verdana" w:hAnsi="Verdana" w:cs="Arial"/>
                <w:b/>
                <w:bCs/>
                <w:iCs/>
                <w:sz w:val="20"/>
                <w:szCs w:val="20"/>
              </w:rPr>
              <w:t xml:space="preserve">Summary of Council’s sustainability appraisal of Site 170 </w:t>
            </w:r>
          </w:p>
          <w:p w14:paraId="795734EA" w14:textId="743B9A92" w:rsidR="005D0E5D" w:rsidRPr="00623BE9" w:rsidRDefault="005D0E5D" w:rsidP="00623BE9">
            <w:pPr>
              <w:spacing w:line="276" w:lineRule="auto"/>
              <w:jc w:val="both"/>
              <w:rPr>
                <w:rFonts w:ascii="Verdana" w:hAnsi="Verdana" w:cs="Arial"/>
                <w:sz w:val="20"/>
                <w:szCs w:val="20"/>
              </w:rPr>
            </w:pPr>
            <w:r w:rsidRPr="00623BE9">
              <w:rPr>
                <w:rFonts w:ascii="Verdana" w:hAnsi="Verdana" w:cs="Arial"/>
                <w:sz w:val="20"/>
                <w:szCs w:val="20"/>
              </w:rPr>
              <w:t xml:space="preserve">Set out below is a summary table showing the appraisal summaries for the site taken from </w:t>
            </w:r>
            <w:r w:rsidR="00FE19C4" w:rsidRPr="00623BE9">
              <w:rPr>
                <w:rFonts w:ascii="Verdana" w:hAnsi="Verdana" w:cs="Arial"/>
                <w:sz w:val="20"/>
                <w:szCs w:val="20"/>
              </w:rPr>
              <w:t>Appendix G (Table G.4.1) of the Reg 19 SA</w:t>
            </w:r>
            <w:r w:rsidRPr="00623BE9">
              <w:rPr>
                <w:rFonts w:ascii="Verdana" w:hAnsi="Verdana" w:cs="Arial"/>
                <w:sz w:val="20"/>
                <w:szCs w:val="20"/>
              </w:rPr>
              <w:t>. Th</w:t>
            </w:r>
            <w:r w:rsidR="00FE19C4" w:rsidRPr="00623BE9">
              <w:rPr>
                <w:rFonts w:ascii="Verdana" w:hAnsi="Verdana" w:cs="Arial"/>
                <w:sz w:val="20"/>
                <w:szCs w:val="20"/>
              </w:rPr>
              <w:t>is shows</w:t>
            </w:r>
            <w:r w:rsidRPr="00623BE9">
              <w:rPr>
                <w:rFonts w:ascii="Verdana" w:hAnsi="Verdana" w:cs="Arial"/>
                <w:sz w:val="20"/>
                <w:szCs w:val="20"/>
              </w:rPr>
              <w:t xml:space="preserve"> the ‘pre- and ‘post-mitigation’ appraisals </w:t>
            </w:r>
            <w:r w:rsidR="00FE19C4" w:rsidRPr="00623BE9">
              <w:rPr>
                <w:rFonts w:ascii="Verdana" w:hAnsi="Verdana" w:cs="Arial"/>
                <w:sz w:val="20"/>
                <w:szCs w:val="20"/>
              </w:rPr>
              <w:t xml:space="preserve">of </w:t>
            </w:r>
            <w:r w:rsidRPr="00623BE9">
              <w:rPr>
                <w:rFonts w:ascii="Verdana" w:hAnsi="Verdana" w:cs="Arial"/>
                <w:sz w:val="20"/>
                <w:szCs w:val="20"/>
              </w:rPr>
              <w:t>the site. For reference, the pre-mitigation summary is set out in Table 4.4 of the SAPOP, whilst the post-mitigation summary is set out in Table 6.1 of the SAPOP.</w:t>
            </w:r>
          </w:p>
          <w:p w14:paraId="0BAF5EE1" w14:textId="61D7A13F" w:rsidR="005D0E5D" w:rsidRPr="00623BE9" w:rsidRDefault="005D0E5D" w:rsidP="00623BE9">
            <w:pPr>
              <w:spacing w:line="276" w:lineRule="auto"/>
              <w:jc w:val="both"/>
              <w:rPr>
                <w:rFonts w:ascii="Verdana" w:hAnsi="Verdana" w:cs="Arial"/>
                <w:sz w:val="20"/>
                <w:szCs w:val="20"/>
              </w:rPr>
            </w:pPr>
          </w:p>
          <w:p w14:paraId="64C027DB" w14:textId="4D78D740" w:rsidR="005D0E5D" w:rsidRPr="00623BE9" w:rsidRDefault="005D0E5D"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The Council considers that site 170 has a number of significant negative effects for residential development, even after mitigation measures are taken into account. RPS has reviewed the evidence presented by the Council in the SAPOP, and does not consider </w:t>
            </w:r>
            <w:r w:rsidRPr="00623BE9">
              <w:rPr>
                <w:rFonts w:ascii="Verdana" w:hAnsi="Verdana" w:cs="Arial"/>
                <w:sz w:val="20"/>
                <w:szCs w:val="20"/>
              </w:rPr>
              <w:lastRenderedPageBreak/>
              <w:t>the findings against a number of SA objectives to be soundly-based. This is set out below.</w:t>
            </w:r>
          </w:p>
          <w:p w14:paraId="72D80CB4" w14:textId="3BBDE2E5" w:rsidR="005D0E5D" w:rsidRPr="00003067" w:rsidRDefault="005D0E5D" w:rsidP="00623BE9">
            <w:pPr>
              <w:pStyle w:val="Caption"/>
              <w:spacing w:line="276" w:lineRule="auto"/>
              <w:jc w:val="both"/>
              <w:rPr>
                <w:szCs w:val="18"/>
              </w:rPr>
            </w:pPr>
            <w:bookmarkStart w:id="2" w:name="_Toc89674337"/>
            <w:r w:rsidRPr="00003067">
              <w:rPr>
                <w:szCs w:val="18"/>
              </w:rPr>
              <w:t xml:space="preserve">LPA </w:t>
            </w:r>
            <w:r w:rsidR="00AC381D">
              <w:rPr>
                <w:szCs w:val="18"/>
              </w:rPr>
              <w:t>Reg 19</w:t>
            </w:r>
            <w:r w:rsidRPr="00003067">
              <w:rPr>
                <w:szCs w:val="18"/>
              </w:rPr>
              <w:t xml:space="preserve"> SA summaries for Site 170</w:t>
            </w:r>
            <w:bookmarkEnd w:id="2"/>
          </w:p>
          <w:tbl>
            <w:tblPr>
              <w:tblW w:w="9952" w:type="dxa"/>
              <w:tblLook w:val="04A0" w:firstRow="1" w:lastRow="0" w:firstColumn="1" w:lastColumn="0" w:noHBand="0" w:noVBand="1"/>
            </w:tblPr>
            <w:tblGrid>
              <w:gridCol w:w="1290"/>
              <w:gridCol w:w="643"/>
              <w:gridCol w:w="670"/>
              <w:gridCol w:w="553"/>
              <w:gridCol w:w="636"/>
              <w:gridCol w:w="644"/>
              <w:gridCol w:w="616"/>
              <w:gridCol w:w="644"/>
              <w:gridCol w:w="644"/>
              <w:gridCol w:w="616"/>
              <w:gridCol w:w="636"/>
              <w:gridCol w:w="553"/>
              <w:gridCol w:w="643"/>
            </w:tblGrid>
            <w:tr w:rsidR="00EE7031" w:rsidRPr="00003067" w14:paraId="7CD65FF6" w14:textId="77777777" w:rsidTr="00EE7031">
              <w:trPr>
                <w:trHeight w:val="255"/>
              </w:trPr>
              <w:tc>
                <w:tcPr>
                  <w:tcW w:w="1476" w:type="dxa"/>
                  <w:vMerge w:val="restart"/>
                  <w:tcBorders>
                    <w:top w:val="nil"/>
                    <w:left w:val="nil"/>
                    <w:bottom w:val="single" w:sz="4" w:space="0" w:color="FFFFFF"/>
                    <w:right w:val="nil"/>
                  </w:tcBorders>
                  <w:shd w:val="clear" w:color="auto" w:fill="auto"/>
                  <w:noWrap/>
                  <w:hideMark/>
                </w:tcPr>
                <w:p w14:paraId="025068F2" w14:textId="43FAACAD" w:rsidR="00EE7031" w:rsidRPr="00623BE9" w:rsidRDefault="00EE7031" w:rsidP="00623BE9">
                  <w:pPr>
                    <w:suppressAutoHyphens w:val="0"/>
                    <w:autoSpaceDN/>
                    <w:spacing w:line="276" w:lineRule="auto"/>
                    <w:jc w:val="both"/>
                    <w:textAlignment w:val="auto"/>
                    <w:rPr>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069"/>
                  </w:tblGrid>
                  <w:tr w:rsidR="00EE7031" w:rsidRPr="00003067" w14:paraId="0396723E" w14:textId="77777777">
                    <w:trPr>
                      <w:trHeight w:val="458"/>
                      <w:tblCellSpacing w:w="0" w:type="dxa"/>
                    </w:trPr>
                    <w:tc>
                      <w:tcPr>
                        <w:tcW w:w="1460" w:type="dxa"/>
                        <w:vMerge w:val="restart"/>
                        <w:tcBorders>
                          <w:top w:val="nil"/>
                          <w:left w:val="nil"/>
                          <w:bottom w:val="single" w:sz="4" w:space="0" w:color="FFFFFF"/>
                          <w:right w:val="single" w:sz="4" w:space="0" w:color="FFFFFF"/>
                        </w:tcBorders>
                        <w:shd w:val="clear" w:color="000000" w:fill="A5D8DB"/>
                        <w:tcMar>
                          <w:top w:w="0" w:type="dxa"/>
                          <w:left w:w="135" w:type="dxa"/>
                          <w:bottom w:w="0" w:type="dxa"/>
                          <w:right w:w="0" w:type="dxa"/>
                        </w:tcMar>
                        <w:vAlign w:val="center"/>
                        <w:hideMark/>
                      </w:tcPr>
                      <w:p w14:paraId="61D6AC22" w14:textId="77777777" w:rsidR="00EE7031" w:rsidRPr="00003067" w:rsidRDefault="00EE7031" w:rsidP="00623BE9">
                        <w:pPr>
                          <w:suppressAutoHyphens w:val="0"/>
                          <w:autoSpaceDN/>
                          <w:spacing w:line="276" w:lineRule="auto"/>
                          <w:ind w:firstLineChars="100" w:firstLine="180"/>
                          <w:jc w:val="both"/>
                          <w:textAlignment w:val="auto"/>
                          <w:rPr>
                            <w:rFonts w:ascii="Tahoma" w:hAnsi="Tahoma" w:cs="Tahoma"/>
                            <w:sz w:val="18"/>
                            <w:szCs w:val="18"/>
                          </w:rPr>
                        </w:pPr>
                        <w:r w:rsidRPr="00003067">
                          <w:rPr>
                            <w:rFonts w:ascii="Tahoma" w:hAnsi="Tahoma" w:cs="Tahoma"/>
                            <w:sz w:val="18"/>
                            <w:szCs w:val="18"/>
                          </w:rPr>
                          <w:t>Site Reference 170</w:t>
                        </w:r>
                      </w:p>
                    </w:tc>
                  </w:tr>
                  <w:tr w:rsidR="00EE7031" w:rsidRPr="00003067" w14:paraId="28270CBE" w14:textId="77777777">
                    <w:trPr>
                      <w:trHeight w:val="458"/>
                      <w:tblCellSpacing w:w="0" w:type="dxa"/>
                    </w:trPr>
                    <w:tc>
                      <w:tcPr>
                        <w:tcW w:w="0" w:type="auto"/>
                        <w:vMerge/>
                        <w:tcBorders>
                          <w:top w:val="nil"/>
                          <w:left w:val="nil"/>
                          <w:bottom w:val="single" w:sz="4" w:space="0" w:color="FFFFFF"/>
                          <w:right w:val="single" w:sz="4" w:space="0" w:color="FFFFFF"/>
                        </w:tcBorders>
                        <w:vAlign w:val="center"/>
                        <w:hideMark/>
                      </w:tcPr>
                      <w:p w14:paraId="3DA96F7E"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p>
                    </w:tc>
                  </w:tr>
                </w:tbl>
                <w:p w14:paraId="7D2091F0" w14:textId="77777777" w:rsidR="00EE7031" w:rsidRPr="00623BE9" w:rsidRDefault="00EE7031" w:rsidP="00623BE9">
                  <w:pPr>
                    <w:suppressAutoHyphens w:val="0"/>
                    <w:autoSpaceDN/>
                    <w:spacing w:line="276" w:lineRule="auto"/>
                    <w:jc w:val="both"/>
                    <w:textAlignment w:val="auto"/>
                    <w:rPr>
                      <w:color w:val="000000"/>
                      <w:sz w:val="18"/>
                      <w:szCs w:val="18"/>
                    </w:rPr>
                  </w:pPr>
                </w:p>
              </w:tc>
              <w:tc>
                <w:tcPr>
                  <w:tcW w:w="728" w:type="dxa"/>
                  <w:tcBorders>
                    <w:top w:val="nil"/>
                    <w:left w:val="nil"/>
                    <w:bottom w:val="single" w:sz="4" w:space="0" w:color="FFFFFF"/>
                    <w:right w:val="single" w:sz="4" w:space="0" w:color="FFFFFF"/>
                  </w:tcBorders>
                  <w:shd w:val="clear" w:color="000000" w:fill="355C8E"/>
                  <w:noWrap/>
                  <w:hideMark/>
                </w:tcPr>
                <w:p w14:paraId="658B97E0" w14:textId="77777777" w:rsidR="00EE7031" w:rsidRPr="00003067" w:rsidRDefault="00EE7031" w:rsidP="00623BE9">
                  <w:pPr>
                    <w:suppressAutoHyphens w:val="0"/>
                    <w:autoSpaceDN/>
                    <w:spacing w:line="276" w:lineRule="auto"/>
                    <w:jc w:val="both"/>
                    <w:textAlignment w:val="auto"/>
                    <w:rPr>
                      <w:rFonts w:ascii="Tahoma" w:hAnsi="Tahoma" w:cs="Tahoma"/>
                      <w:color w:val="FFFFFF"/>
                      <w:sz w:val="18"/>
                      <w:szCs w:val="18"/>
                    </w:rPr>
                  </w:pPr>
                  <w:r w:rsidRPr="00003067">
                    <w:rPr>
                      <w:rFonts w:ascii="Tahoma" w:hAnsi="Tahoma" w:cs="Tahoma"/>
                      <w:color w:val="FFFFFF"/>
                      <w:sz w:val="18"/>
                      <w:szCs w:val="18"/>
                    </w:rPr>
                    <w:t>1</w:t>
                  </w:r>
                </w:p>
              </w:tc>
              <w:tc>
                <w:tcPr>
                  <w:tcW w:w="761" w:type="dxa"/>
                  <w:tcBorders>
                    <w:top w:val="nil"/>
                    <w:left w:val="nil"/>
                    <w:bottom w:val="single" w:sz="4" w:space="0" w:color="FFFFFF"/>
                    <w:right w:val="single" w:sz="4" w:space="0" w:color="FFFFFF"/>
                  </w:tcBorders>
                  <w:shd w:val="clear" w:color="000000" w:fill="355C8E"/>
                  <w:noWrap/>
                  <w:hideMark/>
                </w:tcPr>
                <w:p w14:paraId="374E5799"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color w:val="FFFFFF"/>
                      <w:sz w:val="18"/>
                      <w:szCs w:val="18"/>
                    </w:rPr>
                  </w:pPr>
                  <w:r w:rsidRPr="00003067">
                    <w:rPr>
                      <w:rFonts w:ascii="Tahoma" w:hAnsi="Tahoma" w:cs="Tahoma"/>
                      <w:color w:val="FFFFFF"/>
                      <w:sz w:val="18"/>
                      <w:szCs w:val="18"/>
                    </w:rPr>
                    <w:t>2</w:t>
                  </w:r>
                </w:p>
              </w:tc>
              <w:tc>
                <w:tcPr>
                  <w:tcW w:w="620" w:type="dxa"/>
                  <w:tcBorders>
                    <w:top w:val="nil"/>
                    <w:left w:val="nil"/>
                    <w:bottom w:val="single" w:sz="4" w:space="0" w:color="FFFFFF"/>
                    <w:right w:val="single" w:sz="4" w:space="0" w:color="FFFFFF"/>
                  </w:tcBorders>
                  <w:shd w:val="clear" w:color="000000" w:fill="355C8E"/>
                  <w:noWrap/>
                  <w:hideMark/>
                </w:tcPr>
                <w:p w14:paraId="53835FA6" w14:textId="77777777" w:rsidR="00EE7031" w:rsidRPr="00003067" w:rsidRDefault="00EE7031" w:rsidP="00623BE9">
                  <w:pPr>
                    <w:suppressAutoHyphens w:val="0"/>
                    <w:autoSpaceDN/>
                    <w:spacing w:line="276" w:lineRule="auto"/>
                    <w:jc w:val="both"/>
                    <w:textAlignment w:val="auto"/>
                    <w:rPr>
                      <w:rFonts w:ascii="Tahoma" w:hAnsi="Tahoma" w:cs="Tahoma"/>
                      <w:color w:val="FFFFFF"/>
                      <w:sz w:val="18"/>
                      <w:szCs w:val="18"/>
                    </w:rPr>
                  </w:pPr>
                  <w:r w:rsidRPr="00003067">
                    <w:rPr>
                      <w:rFonts w:ascii="Tahoma" w:hAnsi="Tahoma" w:cs="Tahoma"/>
                      <w:color w:val="FFFFFF"/>
                      <w:sz w:val="18"/>
                      <w:szCs w:val="18"/>
                    </w:rPr>
                    <w:t>3</w:t>
                  </w:r>
                </w:p>
              </w:tc>
              <w:tc>
                <w:tcPr>
                  <w:tcW w:w="720" w:type="dxa"/>
                  <w:tcBorders>
                    <w:top w:val="nil"/>
                    <w:left w:val="nil"/>
                    <w:bottom w:val="single" w:sz="4" w:space="0" w:color="FFFFFF"/>
                    <w:right w:val="single" w:sz="4" w:space="0" w:color="FFFFFF"/>
                  </w:tcBorders>
                  <w:shd w:val="clear" w:color="000000" w:fill="355C8E"/>
                  <w:noWrap/>
                  <w:hideMark/>
                </w:tcPr>
                <w:p w14:paraId="71F93FB0" w14:textId="77777777" w:rsidR="00EE7031" w:rsidRPr="00003067" w:rsidRDefault="00EE7031" w:rsidP="00623BE9">
                  <w:pPr>
                    <w:suppressAutoHyphens w:val="0"/>
                    <w:autoSpaceDN/>
                    <w:spacing w:line="276" w:lineRule="auto"/>
                    <w:ind w:firstLineChars="100" w:firstLine="180"/>
                    <w:jc w:val="both"/>
                    <w:textAlignment w:val="auto"/>
                    <w:rPr>
                      <w:rFonts w:ascii="Tahoma" w:hAnsi="Tahoma" w:cs="Tahoma"/>
                      <w:color w:val="FFFFFF"/>
                      <w:sz w:val="18"/>
                      <w:szCs w:val="18"/>
                    </w:rPr>
                  </w:pPr>
                  <w:r w:rsidRPr="00003067">
                    <w:rPr>
                      <w:rFonts w:ascii="Tahoma" w:hAnsi="Tahoma" w:cs="Tahoma"/>
                      <w:color w:val="FFFFFF"/>
                      <w:sz w:val="18"/>
                      <w:szCs w:val="18"/>
                    </w:rPr>
                    <w:t>4</w:t>
                  </w:r>
                </w:p>
              </w:tc>
              <w:tc>
                <w:tcPr>
                  <w:tcW w:w="729" w:type="dxa"/>
                  <w:tcBorders>
                    <w:top w:val="nil"/>
                    <w:left w:val="nil"/>
                    <w:bottom w:val="single" w:sz="4" w:space="0" w:color="FFFFFF"/>
                    <w:right w:val="single" w:sz="4" w:space="0" w:color="FFFFFF"/>
                  </w:tcBorders>
                  <w:shd w:val="clear" w:color="000000" w:fill="355C8E"/>
                  <w:noWrap/>
                  <w:hideMark/>
                </w:tcPr>
                <w:p w14:paraId="020D41B8"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color w:val="FFFFFF"/>
                      <w:sz w:val="18"/>
                      <w:szCs w:val="18"/>
                    </w:rPr>
                  </w:pPr>
                  <w:r w:rsidRPr="00003067">
                    <w:rPr>
                      <w:rFonts w:ascii="Tahoma" w:hAnsi="Tahoma" w:cs="Tahoma"/>
                      <w:color w:val="FFFFFF"/>
                      <w:sz w:val="18"/>
                      <w:szCs w:val="18"/>
                    </w:rPr>
                    <w:t>5</w:t>
                  </w:r>
                </w:p>
              </w:tc>
              <w:tc>
                <w:tcPr>
                  <w:tcW w:w="696" w:type="dxa"/>
                  <w:tcBorders>
                    <w:top w:val="nil"/>
                    <w:left w:val="nil"/>
                    <w:bottom w:val="single" w:sz="4" w:space="0" w:color="FFFFFF"/>
                    <w:right w:val="single" w:sz="4" w:space="0" w:color="FFFFFF"/>
                  </w:tcBorders>
                  <w:shd w:val="clear" w:color="000000" w:fill="355C8E"/>
                  <w:noWrap/>
                  <w:hideMark/>
                </w:tcPr>
                <w:p w14:paraId="519EF035" w14:textId="77777777" w:rsidR="00EE7031" w:rsidRPr="00003067" w:rsidRDefault="00EE7031" w:rsidP="00623BE9">
                  <w:pPr>
                    <w:suppressAutoHyphens w:val="0"/>
                    <w:autoSpaceDN/>
                    <w:spacing w:line="276" w:lineRule="auto"/>
                    <w:ind w:firstLineChars="100" w:firstLine="180"/>
                    <w:jc w:val="both"/>
                    <w:textAlignment w:val="auto"/>
                    <w:rPr>
                      <w:rFonts w:ascii="Tahoma" w:hAnsi="Tahoma" w:cs="Tahoma"/>
                      <w:color w:val="FFFFFF"/>
                      <w:sz w:val="18"/>
                      <w:szCs w:val="18"/>
                    </w:rPr>
                  </w:pPr>
                  <w:r w:rsidRPr="00003067">
                    <w:rPr>
                      <w:rFonts w:ascii="Tahoma" w:hAnsi="Tahoma" w:cs="Tahoma"/>
                      <w:color w:val="FFFFFF"/>
                      <w:sz w:val="18"/>
                      <w:szCs w:val="18"/>
                    </w:rPr>
                    <w:t>6</w:t>
                  </w:r>
                </w:p>
              </w:tc>
              <w:tc>
                <w:tcPr>
                  <w:tcW w:w="729" w:type="dxa"/>
                  <w:tcBorders>
                    <w:top w:val="nil"/>
                    <w:left w:val="nil"/>
                    <w:bottom w:val="single" w:sz="4" w:space="0" w:color="FFFFFF"/>
                    <w:right w:val="single" w:sz="4" w:space="0" w:color="FFFFFF"/>
                  </w:tcBorders>
                  <w:shd w:val="clear" w:color="000000" w:fill="355C8E"/>
                  <w:noWrap/>
                  <w:hideMark/>
                </w:tcPr>
                <w:p w14:paraId="5971FC38"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color w:val="FFFFFF"/>
                      <w:sz w:val="18"/>
                      <w:szCs w:val="18"/>
                    </w:rPr>
                  </w:pPr>
                  <w:r w:rsidRPr="00003067">
                    <w:rPr>
                      <w:rFonts w:ascii="Tahoma" w:hAnsi="Tahoma" w:cs="Tahoma"/>
                      <w:color w:val="FFFFFF"/>
                      <w:sz w:val="18"/>
                      <w:szCs w:val="18"/>
                    </w:rPr>
                    <w:t>7</w:t>
                  </w:r>
                </w:p>
              </w:tc>
              <w:tc>
                <w:tcPr>
                  <w:tcW w:w="729" w:type="dxa"/>
                  <w:tcBorders>
                    <w:top w:val="nil"/>
                    <w:left w:val="nil"/>
                    <w:bottom w:val="single" w:sz="4" w:space="0" w:color="FFFFFF"/>
                    <w:right w:val="single" w:sz="4" w:space="0" w:color="FFFFFF"/>
                  </w:tcBorders>
                  <w:shd w:val="clear" w:color="000000" w:fill="355C8E"/>
                  <w:noWrap/>
                  <w:hideMark/>
                </w:tcPr>
                <w:p w14:paraId="04E5CE75"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color w:val="FFFFFF"/>
                      <w:sz w:val="18"/>
                      <w:szCs w:val="18"/>
                    </w:rPr>
                  </w:pPr>
                  <w:r w:rsidRPr="00003067">
                    <w:rPr>
                      <w:rFonts w:ascii="Tahoma" w:hAnsi="Tahoma" w:cs="Tahoma"/>
                      <w:color w:val="FFFFFF"/>
                      <w:sz w:val="18"/>
                      <w:szCs w:val="18"/>
                    </w:rPr>
                    <w:t>8</w:t>
                  </w:r>
                </w:p>
              </w:tc>
              <w:tc>
                <w:tcPr>
                  <w:tcW w:w="696" w:type="dxa"/>
                  <w:tcBorders>
                    <w:top w:val="nil"/>
                    <w:left w:val="nil"/>
                    <w:bottom w:val="single" w:sz="4" w:space="0" w:color="FFFFFF"/>
                    <w:right w:val="single" w:sz="4" w:space="0" w:color="FFFFFF"/>
                  </w:tcBorders>
                  <w:shd w:val="clear" w:color="000000" w:fill="355C8E"/>
                  <w:noWrap/>
                  <w:hideMark/>
                </w:tcPr>
                <w:p w14:paraId="7F2E175F" w14:textId="77777777" w:rsidR="00EE7031" w:rsidRPr="00003067" w:rsidRDefault="00EE7031" w:rsidP="00623BE9">
                  <w:pPr>
                    <w:suppressAutoHyphens w:val="0"/>
                    <w:autoSpaceDN/>
                    <w:spacing w:line="276" w:lineRule="auto"/>
                    <w:jc w:val="both"/>
                    <w:textAlignment w:val="auto"/>
                    <w:rPr>
                      <w:rFonts w:ascii="Tahoma" w:hAnsi="Tahoma" w:cs="Tahoma"/>
                      <w:color w:val="FFFFFF"/>
                      <w:sz w:val="18"/>
                      <w:szCs w:val="18"/>
                    </w:rPr>
                  </w:pPr>
                  <w:r w:rsidRPr="00003067">
                    <w:rPr>
                      <w:rFonts w:ascii="Tahoma" w:hAnsi="Tahoma" w:cs="Tahoma"/>
                      <w:color w:val="FFFFFF"/>
                      <w:sz w:val="18"/>
                      <w:szCs w:val="18"/>
                    </w:rPr>
                    <w:t>9</w:t>
                  </w:r>
                </w:p>
              </w:tc>
              <w:tc>
                <w:tcPr>
                  <w:tcW w:w="720" w:type="dxa"/>
                  <w:tcBorders>
                    <w:top w:val="nil"/>
                    <w:left w:val="nil"/>
                    <w:bottom w:val="single" w:sz="4" w:space="0" w:color="FFFFFF"/>
                    <w:right w:val="single" w:sz="4" w:space="0" w:color="FFFFFF"/>
                  </w:tcBorders>
                  <w:shd w:val="clear" w:color="000000" w:fill="355C8E"/>
                  <w:noWrap/>
                  <w:hideMark/>
                </w:tcPr>
                <w:p w14:paraId="2643928C" w14:textId="77777777" w:rsidR="00EE7031" w:rsidRPr="00003067" w:rsidRDefault="00EE7031" w:rsidP="00623BE9">
                  <w:pPr>
                    <w:suppressAutoHyphens w:val="0"/>
                    <w:autoSpaceDN/>
                    <w:spacing w:line="276" w:lineRule="auto"/>
                    <w:ind w:firstLineChars="100" w:firstLine="180"/>
                    <w:jc w:val="both"/>
                    <w:textAlignment w:val="auto"/>
                    <w:rPr>
                      <w:rFonts w:ascii="Tahoma" w:hAnsi="Tahoma" w:cs="Tahoma"/>
                      <w:color w:val="FFFFFF"/>
                      <w:sz w:val="18"/>
                      <w:szCs w:val="18"/>
                    </w:rPr>
                  </w:pPr>
                  <w:r w:rsidRPr="00003067">
                    <w:rPr>
                      <w:rFonts w:ascii="Tahoma" w:hAnsi="Tahoma" w:cs="Tahoma"/>
                      <w:color w:val="FFFFFF"/>
                      <w:sz w:val="18"/>
                      <w:szCs w:val="18"/>
                    </w:rPr>
                    <w:t>10</w:t>
                  </w:r>
                </w:p>
              </w:tc>
              <w:tc>
                <w:tcPr>
                  <w:tcW w:w="620" w:type="dxa"/>
                  <w:tcBorders>
                    <w:top w:val="nil"/>
                    <w:left w:val="nil"/>
                    <w:bottom w:val="single" w:sz="4" w:space="0" w:color="FFFFFF"/>
                    <w:right w:val="single" w:sz="4" w:space="0" w:color="FFFFFF"/>
                  </w:tcBorders>
                  <w:shd w:val="clear" w:color="000000" w:fill="355C8E"/>
                  <w:noWrap/>
                  <w:hideMark/>
                </w:tcPr>
                <w:p w14:paraId="0959C23B" w14:textId="77777777" w:rsidR="00EE7031" w:rsidRPr="00003067" w:rsidRDefault="00EE7031" w:rsidP="00623BE9">
                  <w:pPr>
                    <w:suppressAutoHyphens w:val="0"/>
                    <w:autoSpaceDN/>
                    <w:spacing w:line="276" w:lineRule="auto"/>
                    <w:jc w:val="both"/>
                    <w:textAlignment w:val="auto"/>
                    <w:rPr>
                      <w:rFonts w:ascii="Tahoma" w:hAnsi="Tahoma" w:cs="Tahoma"/>
                      <w:color w:val="FFFFFF"/>
                      <w:sz w:val="18"/>
                      <w:szCs w:val="18"/>
                    </w:rPr>
                  </w:pPr>
                  <w:r w:rsidRPr="00003067">
                    <w:rPr>
                      <w:rFonts w:ascii="Tahoma" w:hAnsi="Tahoma" w:cs="Tahoma"/>
                      <w:color w:val="FFFFFF"/>
                      <w:sz w:val="18"/>
                      <w:szCs w:val="18"/>
                    </w:rPr>
                    <w:t>11</w:t>
                  </w:r>
                </w:p>
              </w:tc>
              <w:tc>
                <w:tcPr>
                  <w:tcW w:w="728" w:type="dxa"/>
                  <w:tcBorders>
                    <w:top w:val="nil"/>
                    <w:left w:val="nil"/>
                    <w:bottom w:val="single" w:sz="4" w:space="0" w:color="FFFFFF"/>
                    <w:right w:val="nil"/>
                  </w:tcBorders>
                  <w:shd w:val="clear" w:color="000000" w:fill="355C8E"/>
                  <w:noWrap/>
                  <w:hideMark/>
                </w:tcPr>
                <w:p w14:paraId="537CFBD8" w14:textId="77777777" w:rsidR="00EE7031" w:rsidRPr="00003067" w:rsidRDefault="00EE7031" w:rsidP="00623BE9">
                  <w:pPr>
                    <w:suppressAutoHyphens w:val="0"/>
                    <w:autoSpaceDN/>
                    <w:spacing w:line="276" w:lineRule="auto"/>
                    <w:ind w:firstLineChars="100" w:firstLine="180"/>
                    <w:jc w:val="both"/>
                    <w:textAlignment w:val="auto"/>
                    <w:rPr>
                      <w:rFonts w:ascii="Tahoma" w:hAnsi="Tahoma" w:cs="Tahoma"/>
                      <w:color w:val="FFFFFF"/>
                      <w:sz w:val="18"/>
                      <w:szCs w:val="18"/>
                    </w:rPr>
                  </w:pPr>
                  <w:r w:rsidRPr="00003067">
                    <w:rPr>
                      <w:rFonts w:ascii="Tahoma" w:hAnsi="Tahoma" w:cs="Tahoma"/>
                      <w:color w:val="FFFFFF"/>
                      <w:sz w:val="18"/>
                      <w:szCs w:val="18"/>
                    </w:rPr>
                    <w:t>12</w:t>
                  </w:r>
                </w:p>
              </w:tc>
            </w:tr>
            <w:tr w:rsidR="00EE7031" w:rsidRPr="00003067" w14:paraId="476BDE43" w14:textId="77777777" w:rsidTr="00EE7031">
              <w:trPr>
                <w:trHeight w:val="1380"/>
              </w:trPr>
              <w:tc>
                <w:tcPr>
                  <w:tcW w:w="1476" w:type="dxa"/>
                  <w:vMerge/>
                  <w:tcBorders>
                    <w:top w:val="nil"/>
                    <w:left w:val="nil"/>
                    <w:bottom w:val="single" w:sz="4" w:space="0" w:color="FFFFFF"/>
                    <w:right w:val="nil"/>
                  </w:tcBorders>
                  <w:vAlign w:val="center"/>
                  <w:hideMark/>
                </w:tcPr>
                <w:p w14:paraId="472C600B" w14:textId="77777777" w:rsidR="00EE7031" w:rsidRPr="00623BE9" w:rsidRDefault="00EE7031" w:rsidP="00623BE9">
                  <w:pPr>
                    <w:suppressAutoHyphens w:val="0"/>
                    <w:autoSpaceDN/>
                    <w:spacing w:line="276" w:lineRule="auto"/>
                    <w:jc w:val="both"/>
                    <w:textAlignment w:val="auto"/>
                    <w:rPr>
                      <w:color w:val="000000"/>
                      <w:sz w:val="18"/>
                      <w:szCs w:val="18"/>
                    </w:rPr>
                  </w:pPr>
                </w:p>
              </w:tc>
              <w:tc>
                <w:tcPr>
                  <w:tcW w:w="728" w:type="dxa"/>
                  <w:tcBorders>
                    <w:top w:val="nil"/>
                    <w:left w:val="nil"/>
                    <w:bottom w:val="single" w:sz="4" w:space="0" w:color="FFFFFF"/>
                    <w:right w:val="single" w:sz="4" w:space="0" w:color="FFFFFF"/>
                  </w:tcBorders>
                  <w:shd w:val="clear" w:color="000000" w:fill="355C8E"/>
                  <w:textDirection w:val="btLr"/>
                  <w:vAlign w:val="bottom"/>
                  <w:hideMark/>
                </w:tcPr>
                <w:p w14:paraId="0C6D739F"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color w:val="FFFFFF"/>
                      <w:sz w:val="18"/>
                      <w:szCs w:val="18"/>
                    </w:rPr>
                    <w:t>Climate Change Mitigation</w:t>
                  </w:r>
                </w:p>
              </w:tc>
              <w:tc>
                <w:tcPr>
                  <w:tcW w:w="761" w:type="dxa"/>
                  <w:tcBorders>
                    <w:top w:val="nil"/>
                    <w:left w:val="nil"/>
                    <w:bottom w:val="single" w:sz="4" w:space="0" w:color="FFFFFF"/>
                    <w:right w:val="single" w:sz="4" w:space="0" w:color="FFFFFF"/>
                  </w:tcBorders>
                  <w:shd w:val="clear" w:color="000000" w:fill="355C8E"/>
                  <w:textDirection w:val="btLr"/>
                  <w:vAlign w:val="bottom"/>
                  <w:hideMark/>
                </w:tcPr>
                <w:p w14:paraId="5DF94445"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color w:val="FFFFFF"/>
                      <w:sz w:val="18"/>
                      <w:szCs w:val="18"/>
                    </w:rPr>
                    <w:t>Climate Change Adaptation</w:t>
                  </w:r>
                </w:p>
              </w:tc>
              <w:tc>
                <w:tcPr>
                  <w:tcW w:w="620" w:type="dxa"/>
                  <w:tcBorders>
                    <w:top w:val="nil"/>
                    <w:left w:val="nil"/>
                    <w:bottom w:val="single" w:sz="4" w:space="0" w:color="FFFFFF"/>
                    <w:right w:val="single" w:sz="4" w:space="0" w:color="FFFFFF"/>
                  </w:tcBorders>
                  <w:shd w:val="clear" w:color="000000" w:fill="355C8E"/>
                  <w:textDirection w:val="btLr"/>
                  <w:vAlign w:val="bottom"/>
                  <w:hideMark/>
                </w:tcPr>
                <w:p w14:paraId="3EBCFD08"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color w:val="FFFFFF"/>
                      <w:sz w:val="18"/>
                      <w:szCs w:val="18"/>
                    </w:rPr>
                    <w:t>Biodiversity &amp; Geodiversity</w:t>
                  </w:r>
                </w:p>
              </w:tc>
              <w:tc>
                <w:tcPr>
                  <w:tcW w:w="720" w:type="dxa"/>
                  <w:tcBorders>
                    <w:top w:val="nil"/>
                    <w:left w:val="nil"/>
                    <w:bottom w:val="single" w:sz="4" w:space="0" w:color="FFFFFF"/>
                    <w:right w:val="single" w:sz="4" w:space="0" w:color="FFFFFF"/>
                  </w:tcBorders>
                  <w:shd w:val="clear" w:color="000000" w:fill="355C8E"/>
                  <w:textDirection w:val="btLr"/>
                  <w:vAlign w:val="bottom"/>
                  <w:hideMark/>
                </w:tcPr>
                <w:p w14:paraId="7344004F"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color w:val="FFFFFF"/>
                      <w:sz w:val="18"/>
                      <w:szCs w:val="18"/>
                    </w:rPr>
                    <w:t>Landscape &amp; Townscape</w:t>
                  </w:r>
                </w:p>
              </w:tc>
              <w:tc>
                <w:tcPr>
                  <w:tcW w:w="729" w:type="dxa"/>
                  <w:tcBorders>
                    <w:top w:val="nil"/>
                    <w:left w:val="nil"/>
                    <w:bottom w:val="single" w:sz="4" w:space="0" w:color="FFFFFF"/>
                    <w:right w:val="single" w:sz="4" w:space="0" w:color="FFFFFF"/>
                  </w:tcBorders>
                  <w:shd w:val="clear" w:color="000000" w:fill="355C8E"/>
                  <w:textDirection w:val="btLr"/>
                  <w:vAlign w:val="bottom"/>
                  <w:hideMark/>
                </w:tcPr>
                <w:p w14:paraId="12CCBFD4"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color w:val="FFFFFF"/>
                      <w:sz w:val="18"/>
                      <w:szCs w:val="18"/>
                    </w:rPr>
                    <w:t>Pollution &amp; Waste</w:t>
                  </w:r>
                </w:p>
              </w:tc>
              <w:tc>
                <w:tcPr>
                  <w:tcW w:w="696" w:type="dxa"/>
                  <w:tcBorders>
                    <w:top w:val="nil"/>
                    <w:left w:val="nil"/>
                    <w:bottom w:val="single" w:sz="4" w:space="0" w:color="FFFFFF"/>
                    <w:right w:val="single" w:sz="4" w:space="0" w:color="FFFFFF"/>
                  </w:tcBorders>
                  <w:shd w:val="clear" w:color="000000" w:fill="355C8E"/>
                  <w:textDirection w:val="btLr"/>
                  <w:vAlign w:val="bottom"/>
                  <w:hideMark/>
                </w:tcPr>
                <w:p w14:paraId="53E7D57F"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color w:val="FFFFFF"/>
                      <w:sz w:val="18"/>
                      <w:szCs w:val="18"/>
                    </w:rPr>
                    <w:t>Natural Resources</w:t>
                  </w:r>
                </w:p>
              </w:tc>
              <w:tc>
                <w:tcPr>
                  <w:tcW w:w="729" w:type="dxa"/>
                  <w:tcBorders>
                    <w:top w:val="nil"/>
                    <w:left w:val="nil"/>
                    <w:bottom w:val="single" w:sz="4" w:space="0" w:color="FFFFFF"/>
                    <w:right w:val="single" w:sz="4" w:space="0" w:color="FFFFFF"/>
                  </w:tcBorders>
                  <w:shd w:val="clear" w:color="000000" w:fill="355C8E"/>
                  <w:textDirection w:val="btLr"/>
                  <w:vAlign w:val="bottom"/>
                  <w:hideMark/>
                </w:tcPr>
                <w:p w14:paraId="7FF64CCA"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color w:val="FFFFFF"/>
                      <w:sz w:val="18"/>
                      <w:szCs w:val="18"/>
                    </w:rPr>
                    <w:t>Housing</w:t>
                  </w:r>
                </w:p>
              </w:tc>
              <w:tc>
                <w:tcPr>
                  <w:tcW w:w="729" w:type="dxa"/>
                  <w:tcBorders>
                    <w:top w:val="nil"/>
                    <w:left w:val="nil"/>
                    <w:bottom w:val="single" w:sz="4" w:space="0" w:color="FFFFFF"/>
                    <w:right w:val="single" w:sz="4" w:space="0" w:color="FFFFFF"/>
                  </w:tcBorders>
                  <w:shd w:val="clear" w:color="000000" w:fill="355C8E"/>
                  <w:textDirection w:val="btLr"/>
                  <w:vAlign w:val="bottom"/>
                  <w:hideMark/>
                </w:tcPr>
                <w:p w14:paraId="26ECD18D"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color w:val="FFFFFF"/>
                      <w:sz w:val="18"/>
                      <w:szCs w:val="18"/>
                    </w:rPr>
                    <w:t>Health &amp; Wellbeing</w:t>
                  </w:r>
                </w:p>
              </w:tc>
              <w:tc>
                <w:tcPr>
                  <w:tcW w:w="696" w:type="dxa"/>
                  <w:tcBorders>
                    <w:top w:val="nil"/>
                    <w:left w:val="nil"/>
                    <w:bottom w:val="single" w:sz="4" w:space="0" w:color="FFFFFF"/>
                    <w:right w:val="single" w:sz="4" w:space="0" w:color="FFFFFF"/>
                  </w:tcBorders>
                  <w:shd w:val="clear" w:color="000000" w:fill="355C8E"/>
                  <w:textDirection w:val="btLr"/>
                  <w:vAlign w:val="bottom"/>
                  <w:hideMark/>
                </w:tcPr>
                <w:p w14:paraId="662FE4EA"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color w:val="FFFFFF"/>
                      <w:sz w:val="18"/>
                      <w:szCs w:val="18"/>
                    </w:rPr>
                    <w:t>Cultural Heritage</w:t>
                  </w:r>
                </w:p>
              </w:tc>
              <w:tc>
                <w:tcPr>
                  <w:tcW w:w="720" w:type="dxa"/>
                  <w:tcBorders>
                    <w:top w:val="nil"/>
                    <w:left w:val="nil"/>
                    <w:bottom w:val="single" w:sz="4" w:space="0" w:color="FFFFFF"/>
                    <w:right w:val="single" w:sz="4" w:space="0" w:color="FFFFFF"/>
                  </w:tcBorders>
                  <w:shd w:val="clear" w:color="000000" w:fill="355C8E"/>
                  <w:textDirection w:val="btLr"/>
                  <w:vAlign w:val="bottom"/>
                  <w:hideMark/>
                </w:tcPr>
                <w:p w14:paraId="566DC4EA"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color w:val="FFFFFF"/>
                      <w:sz w:val="18"/>
                      <w:szCs w:val="18"/>
                    </w:rPr>
                    <w:t>Transport &amp; Accessibility</w:t>
                  </w:r>
                </w:p>
              </w:tc>
              <w:tc>
                <w:tcPr>
                  <w:tcW w:w="620" w:type="dxa"/>
                  <w:tcBorders>
                    <w:top w:val="nil"/>
                    <w:left w:val="nil"/>
                    <w:bottom w:val="single" w:sz="4" w:space="0" w:color="FFFFFF"/>
                    <w:right w:val="single" w:sz="4" w:space="0" w:color="FFFFFF"/>
                  </w:tcBorders>
                  <w:shd w:val="clear" w:color="000000" w:fill="355C8E"/>
                  <w:textDirection w:val="btLr"/>
                  <w:vAlign w:val="bottom"/>
                  <w:hideMark/>
                </w:tcPr>
                <w:p w14:paraId="4C283207"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color w:val="FFFFFF"/>
                      <w:sz w:val="18"/>
                      <w:szCs w:val="18"/>
                    </w:rPr>
                    <w:t>Education</w:t>
                  </w:r>
                </w:p>
              </w:tc>
              <w:tc>
                <w:tcPr>
                  <w:tcW w:w="728" w:type="dxa"/>
                  <w:tcBorders>
                    <w:top w:val="nil"/>
                    <w:left w:val="nil"/>
                    <w:bottom w:val="single" w:sz="4" w:space="0" w:color="FFFFFF"/>
                    <w:right w:val="nil"/>
                  </w:tcBorders>
                  <w:shd w:val="clear" w:color="000000" w:fill="355C8E"/>
                  <w:textDirection w:val="btLr"/>
                  <w:vAlign w:val="bottom"/>
                  <w:hideMark/>
                </w:tcPr>
                <w:p w14:paraId="3D141B66"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color w:val="FFFFFF"/>
                      <w:sz w:val="18"/>
                      <w:szCs w:val="18"/>
                    </w:rPr>
                    <w:t>Economy &amp; Employment</w:t>
                  </w:r>
                </w:p>
              </w:tc>
            </w:tr>
            <w:tr w:rsidR="00EE7031" w:rsidRPr="00003067" w14:paraId="31F62B52" w14:textId="77777777" w:rsidTr="00EE7031">
              <w:trPr>
                <w:trHeight w:val="255"/>
              </w:trPr>
              <w:tc>
                <w:tcPr>
                  <w:tcW w:w="9952" w:type="dxa"/>
                  <w:gridSpan w:val="13"/>
                  <w:tcBorders>
                    <w:top w:val="single" w:sz="4" w:space="0" w:color="FFFFFF"/>
                    <w:left w:val="nil"/>
                    <w:bottom w:val="single" w:sz="4" w:space="0" w:color="FFFFFF"/>
                    <w:right w:val="nil"/>
                  </w:tcBorders>
                  <w:shd w:val="clear" w:color="000000" w:fill="D9D9D9"/>
                  <w:hideMark/>
                </w:tcPr>
                <w:p w14:paraId="103A91C0"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sz w:val="18"/>
                      <w:szCs w:val="18"/>
                    </w:rPr>
                    <w:t>Featherstone</w:t>
                  </w:r>
                </w:p>
              </w:tc>
            </w:tr>
            <w:tr w:rsidR="00EE7031" w:rsidRPr="00003067" w14:paraId="39372CC0" w14:textId="77777777" w:rsidTr="00EE7031">
              <w:trPr>
                <w:trHeight w:val="255"/>
              </w:trPr>
              <w:tc>
                <w:tcPr>
                  <w:tcW w:w="1476" w:type="dxa"/>
                  <w:tcBorders>
                    <w:top w:val="nil"/>
                    <w:left w:val="nil"/>
                    <w:bottom w:val="single" w:sz="4" w:space="0" w:color="FFFFFF"/>
                    <w:right w:val="single" w:sz="4" w:space="0" w:color="FFFFFF"/>
                  </w:tcBorders>
                  <w:shd w:val="clear" w:color="000000" w:fill="A5D8DB"/>
                  <w:noWrap/>
                  <w:hideMark/>
                </w:tcPr>
                <w:p w14:paraId="4BE8C7F3" w14:textId="77777777" w:rsidR="00EE7031" w:rsidRPr="00003067" w:rsidRDefault="00EE7031" w:rsidP="00623BE9">
                  <w:pPr>
                    <w:suppressAutoHyphens w:val="0"/>
                    <w:autoSpaceDN/>
                    <w:spacing w:line="276" w:lineRule="auto"/>
                    <w:jc w:val="both"/>
                    <w:textAlignment w:val="auto"/>
                    <w:rPr>
                      <w:rFonts w:ascii="Tahoma" w:hAnsi="Tahoma" w:cs="Tahoma"/>
                      <w:color w:val="000000"/>
                      <w:sz w:val="18"/>
                      <w:szCs w:val="18"/>
                    </w:rPr>
                  </w:pPr>
                  <w:r w:rsidRPr="00003067">
                    <w:rPr>
                      <w:rFonts w:ascii="Tahoma" w:hAnsi="Tahoma" w:cs="Tahoma"/>
                      <w:color w:val="000000"/>
                      <w:sz w:val="18"/>
                      <w:szCs w:val="18"/>
                    </w:rPr>
                    <w:t>Post-mitigation</w:t>
                  </w:r>
                </w:p>
              </w:tc>
              <w:tc>
                <w:tcPr>
                  <w:tcW w:w="728" w:type="dxa"/>
                  <w:tcBorders>
                    <w:top w:val="nil"/>
                    <w:left w:val="nil"/>
                    <w:bottom w:val="single" w:sz="4" w:space="0" w:color="FFFFFF"/>
                    <w:right w:val="single" w:sz="4" w:space="0" w:color="FFFFFF"/>
                  </w:tcBorders>
                  <w:shd w:val="clear" w:color="000000" w:fill="548DD4"/>
                  <w:hideMark/>
                </w:tcPr>
                <w:p w14:paraId="3C4B82FB"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sz w:val="18"/>
                      <w:szCs w:val="18"/>
                    </w:rPr>
                    <w:t>+/-</w:t>
                  </w:r>
                </w:p>
              </w:tc>
              <w:tc>
                <w:tcPr>
                  <w:tcW w:w="761" w:type="dxa"/>
                  <w:tcBorders>
                    <w:top w:val="nil"/>
                    <w:left w:val="nil"/>
                    <w:bottom w:val="single" w:sz="4" w:space="0" w:color="FFFFFF"/>
                    <w:right w:val="single" w:sz="4" w:space="0" w:color="FFFFFF"/>
                  </w:tcBorders>
                  <w:shd w:val="clear" w:color="000000" w:fill="C2D69D"/>
                  <w:hideMark/>
                </w:tcPr>
                <w:p w14:paraId="37EC9886"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c>
                <w:tcPr>
                  <w:tcW w:w="620" w:type="dxa"/>
                  <w:tcBorders>
                    <w:top w:val="nil"/>
                    <w:left w:val="nil"/>
                    <w:bottom w:val="single" w:sz="4" w:space="0" w:color="FFFFFF"/>
                    <w:right w:val="single" w:sz="4" w:space="0" w:color="FFFFFF"/>
                  </w:tcBorders>
                  <w:shd w:val="clear" w:color="000000" w:fill="FFFF00"/>
                  <w:noWrap/>
                  <w:hideMark/>
                </w:tcPr>
                <w:p w14:paraId="0AA40F25" w14:textId="77777777" w:rsidR="00EE7031" w:rsidRPr="00003067" w:rsidRDefault="00EE7031" w:rsidP="00623BE9">
                  <w:pPr>
                    <w:suppressAutoHyphens w:val="0"/>
                    <w:autoSpaceDN/>
                    <w:spacing w:line="276" w:lineRule="auto"/>
                    <w:jc w:val="both"/>
                    <w:textAlignment w:val="auto"/>
                    <w:rPr>
                      <w:rFonts w:ascii="Tahoma" w:hAnsi="Tahoma" w:cs="Tahoma"/>
                      <w:color w:val="000000"/>
                      <w:sz w:val="18"/>
                      <w:szCs w:val="18"/>
                    </w:rPr>
                  </w:pPr>
                  <w:r w:rsidRPr="00003067">
                    <w:rPr>
                      <w:rFonts w:ascii="Tahoma" w:hAnsi="Tahoma" w:cs="Tahoma"/>
                      <w:color w:val="000000"/>
                      <w:sz w:val="18"/>
                      <w:szCs w:val="18"/>
                    </w:rPr>
                    <w:t>0</w:t>
                  </w:r>
                </w:p>
              </w:tc>
              <w:tc>
                <w:tcPr>
                  <w:tcW w:w="720" w:type="dxa"/>
                  <w:tcBorders>
                    <w:top w:val="nil"/>
                    <w:left w:val="nil"/>
                    <w:bottom w:val="single" w:sz="4" w:space="0" w:color="FFFFFF"/>
                    <w:right w:val="single" w:sz="4" w:space="0" w:color="FFFFFF"/>
                  </w:tcBorders>
                  <w:shd w:val="clear" w:color="000000" w:fill="DA9393"/>
                  <w:hideMark/>
                </w:tcPr>
                <w:p w14:paraId="52E5B656"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nil"/>
                  </w:tcBorders>
                  <w:shd w:val="clear" w:color="000000" w:fill="DA9393"/>
                  <w:hideMark/>
                </w:tcPr>
                <w:p w14:paraId="5190EE69"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c>
                <w:tcPr>
                  <w:tcW w:w="696" w:type="dxa"/>
                  <w:tcBorders>
                    <w:top w:val="nil"/>
                    <w:left w:val="nil"/>
                    <w:bottom w:val="single" w:sz="4" w:space="0" w:color="FFFFFF"/>
                    <w:right w:val="single" w:sz="4" w:space="0" w:color="FFFFFF"/>
                  </w:tcBorders>
                  <w:shd w:val="clear" w:color="000000" w:fill="DA9393"/>
                  <w:hideMark/>
                </w:tcPr>
                <w:p w14:paraId="401724EF"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single" w:sz="4" w:space="0" w:color="FFFFFF"/>
                  </w:tcBorders>
                  <w:shd w:val="clear" w:color="000000" w:fill="C2D69C"/>
                  <w:hideMark/>
                </w:tcPr>
                <w:p w14:paraId="52F0C927" w14:textId="77777777" w:rsidR="00EE7031" w:rsidRPr="00003067" w:rsidRDefault="00EE7031" w:rsidP="00623BE9">
                  <w:pPr>
                    <w:suppressAutoHyphens w:val="0"/>
                    <w:autoSpaceDN/>
                    <w:spacing w:line="276" w:lineRule="auto"/>
                    <w:ind w:firstLineChars="100" w:firstLine="180"/>
                    <w:jc w:val="both"/>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single" w:sz="4" w:space="0" w:color="FFFFFF"/>
                  </w:tcBorders>
                  <w:shd w:val="clear" w:color="000000" w:fill="DA9393"/>
                  <w:hideMark/>
                </w:tcPr>
                <w:p w14:paraId="7A61BF52"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c>
                <w:tcPr>
                  <w:tcW w:w="696" w:type="dxa"/>
                  <w:tcBorders>
                    <w:top w:val="nil"/>
                    <w:left w:val="nil"/>
                    <w:bottom w:val="single" w:sz="4" w:space="0" w:color="FFFFFF"/>
                    <w:right w:val="single" w:sz="4" w:space="0" w:color="FFFFFF"/>
                  </w:tcBorders>
                  <w:shd w:val="clear" w:color="000000" w:fill="FFFF00"/>
                  <w:noWrap/>
                  <w:hideMark/>
                </w:tcPr>
                <w:p w14:paraId="12F5AB0C" w14:textId="77777777" w:rsidR="00EE7031" w:rsidRPr="00003067" w:rsidRDefault="00EE7031" w:rsidP="00623BE9">
                  <w:pPr>
                    <w:suppressAutoHyphens w:val="0"/>
                    <w:autoSpaceDN/>
                    <w:spacing w:line="276" w:lineRule="auto"/>
                    <w:jc w:val="both"/>
                    <w:textAlignment w:val="auto"/>
                    <w:rPr>
                      <w:rFonts w:ascii="Tahoma" w:hAnsi="Tahoma" w:cs="Tahoma"/>
                      <w:color w:val="000000"/>
                      <w:sz w:val="18"/>
                      <w:szCs w:val="18"/>
                    </w:rPr>
                  </w:pPr>
                  <w:r w:rsidRPr="00003067">
                    <w:rPr>
                      <w:rFonts w:ascii="Tahoma" w:hAnsi="Tahoma" w:cs="Tahoma"/>
                      <w:color w:val="000000"/>
                      <w:sz w:val="18"/>
                      <w:szCs w:val="18"/>
                    </w:rPr>
                    <w:t>0</w:t>
                  </w:r>
                </w:p>
              </w:tc>
              <w:tc>
                <w:tcPr>
                  <w:tcW w:w="720" w:type="dxa"/>
                  <w:tcBorders>
                    <w:top w:val="nil"/>
                    <w:left w:val="nil"/>
                    <w:bottom w:val="single" w:sz="4" w:space="0" w:color="FFFFFF"/>
                    <w:right w:val="single" w:sz="4" w:space="0" w:color="FFFFFF"/>
                  </w:tcBorders>
                  <w:shd w:val="clear" w:color="000000" w:fill="DA9393"/>
                  <w:hideMark/>
                </w:tcPr>
                <w:p w14:paraId="75AFA161"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c>
                <w:tcPr>
                  <w:tcW w:w="620" w:type="dxa"/>
                  <w:tcBorders>
                    <w:top w:val="nil"/>
                    <w:left w:val="nil"/>
                    <w:bottom w:val="single" w:sz="4" w:space="0" w:color="FFFFFF"/>
                    <w:right w:val="single" w:sz="4" w:space="0" w:color="FFFFFF"/>
                  </w:tcBorders>
                  <w:shd w:val="clear" w:color="000000" w:fill="DB9394"/>
                  <w:hideMark/>
                </w:tcPr>
                <w:p w14:paraId="6DCF0504"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sz w:val="18"/>
                      <w:szCs w:val="18"/>
                    </w:rPr>
                    <w:t>-</w:t>
                  </w:r>
                </w:p>
              </w:tc>
              <w:tc>
                <w:tcPr>
                  <w:tcW w:w="728" w:type="dxa"/>
                  <w:tcBorders>
                    <w:top w:val="nil"/>
                    <w:left w:val="nil"/>
                    <w:bottom w:val="single" w:sz="4" w:space="0" w:color="FFFFFF"/>
                    <w:right w:val="nil"/>
                  </w:tcBorders>
                  <w:shd w:val="clear" w:color="000000" w:fill="DB9394"/>
                  <w:hideMark/>
                </w:tcPr>
                <w:p w14:paraId="3A00512E"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r>
            <w:tr w:rsidR="00EE7031" w:rsidRPr="00003067" w14:paraId="150D0EA7" w14:textId="77777777" w:rsidTr="00EE7031">
              <w:trPr>
                <w:trHeight w:val="255"/>
              </w:trPr>
              <w:tc>
                <w:tcPr>
                  <w:tcW w:w="1476" w:type="dxa"/>
                  <w:tcBorders>
                    <w:top w:val="nil"/>
                    <w:left w:val="nil"/>
                    <w:bottom w:val="nil"/>
                    <w:right w:val="nil"/>
                  </w:tcBorders>
                  <w:shd w:val="clear" w:color="000000" w:fill="A5D8DB"/>
                  <w:noWrap/>
                  <w:hideMark/>
                </w:tcPr>
                <w:p w14:paraId="14BC8FD4" w14:textId="77777777" w:rsidR="00EE7031" w:rsidRPr="00003067" w:rsidRDefault="00EE7031" w:rsidP="00623BE9">
                  <w:pPr>
                    <w:suppressAutoHyphens w:val="0"/>
                    <w:autoSpaceDN/>
                    <w:spacing w:line="276" w:lineRule="auto"/>
                    <w:jc w:val="both"/>
                    <w:textAlignment w:val="auto"/>
                    <w:rPr>
                      <w:rFonts w:ascii="Tahoma" w:hAnsi="Tahoma" w:cs="Tahoma"/>
                      <w:color w:val="000000"/>
                      <w:sz w:val="18"/>
                      <w:szCs w:val="18"/>
                    </w:rPr>
                  </w:pPr>
                  <w:r w:rsidRPr="00003067">
                    <w:rPr>
                      <w:rFonts w:ascii="Tahoma" w:hAnsi="Tahoma" w:cs="Tahoma"/>
                      <w:color w:val="000000"/>
                      <w:sz w:val="18"/>
                      <w:szCs w:val="18"/>
                    </w:rPr>
                    <w:t>Pre-mitigation</w:t>
                  </w:r>
                </w:p>
              </w:tc>
              <w:tc>
                <w:tcPr>
                  <w:tcW w:w="728" w:type="dxa"/>
                  <w:tcBorders>
                    <w:top w:val="nil"/>
                    <w:left w:val="single" w:sz="4" w:space="0" w:color="FFFFFF"/>
                    <w:bottom w:val="single" w:sz="4" w:space="0" w:color="FFFFFF"/>
                    <w:right w:val="single" w:sz="4" w:space="0" w:color="FFFFFF"/>
                  </w:tcBorders>
                  <w:shd w:val="clear" w:color="000000" w:fill="548DD4"/>
                  <w:hideMark/>
                </w:tcPr>
                <w:p w14:paraId="20E675D5"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sz w:val="18"/>
                      <w:szCs w:val="18"/>
                    </w:rPr>
                    <w:t>+/-</w:t>
                  </w:r>
                </w:p>
              </w:tc>
              <w:tc>
                <w:tcPr>
                  <w:tcW w:w="761" w:type="dxa"/>
                  <w:tcBorders>
                    <w:top w:val="nil"/>
                    <w:left w:val="nil"/>
                    <w:bottom w:val="single" w:sz="4" w:space="0" w:color="FFFFFF"/>
                    <w:right w:val="single" w:sz="4" w:space="0" w:color="FFFFFF"/>
                  </w:tcBorders>
                  <w:shd w:val="clear" w:color="000000" w:fill="FF0000"/>
                  <w:hideMark/>
                </w:tcPr>
                <w:p w14:paraId="44434099" w14:textId="77777777" w:rsidR="00EE7031" w:rsidRPr="00003067" w:rsidRDefault="00EE7031" w:rsidP="00623BE9">
                  <w:pPr>
                    <w:suppressAutoHyphens w:val="0"/>
                    <w:autoSpaceDN/>
                    <w:spacing w:line="276" w:lineRule="auto"/>
                    <w:ind w:firstLineChars="100" w:firstLine="180"/>
                    <w:jc w:val="both"/>
                    <w:textAlignment w:val="auto"/>
                    <w:rPr>
                      <w:rFonts w:ascii="Tahoma" w:hAnsi="Tahoma" w:cs="Tahoma"/>
                      <w:sz w:val="18"/>
                      <w:szCs w:val="18"/>
                    </w:rPr>
                  </w:pPr>
                  <w:r w:rsidRPr="00003067">
                    <w:rPr>
                      <w:rFonts w:ascii="Tahoma" w:hAnsi="Tahoma" w:cs="Tahoma"/>
                      <w:sz w:val="18"/>
                      <w:szCs w:val="18"/>
                    </w:rPr>
                    <w:t>--</w:t>
                  </w:r>
                </w:p>
              </w:tc>
              <w:tc>
                <w:tcPr>
                  <w:tcW w:w="620" w:type="dxa"/>
                  <w:tcBorders>
                    <w:top w:val="nil"/>
                    <w:left w:val="nil"/>
                    <w:bottom w:val="single" w:sz="4" w:space="0" w:color="FFFFFF"/>
                    <w:right w:val="single" w:sz="4" w:space="0" w:color="FFFFFF"/>
                  </w:tcBorders>
                  <w:shd w:val="clear" w:color="000000" w:fill="DA9393"/>
                  <w:hideMark/>
                </w:tcPr>
                <w:p w14:paraId="63120DB7"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sz w:val="18"/>
                      <w:szCs w:val="18"/>
                    </w:rPr>
                    <w:t>-</w:t>
                  </w:r>
                </w:p>
              </w:tc>
              <w:tc>
                <w:tcPr>
                  <w:tcW w:w="720" w:type="dxa"/>
                  <w:tcBorders>
                    <w:top w:val="nil"/>
                    <w:left w:val="nil"/>
                    <w:bottom w:val="single" w:sz="4" w:space="0" w:color="FFFFFF"/>
                    <w:right w:val="single" w:sz="4" w:space="0" w:color="FFFFFF"/>
                  </w:tcBorders>
                  <w:shd w:val="clear" w:color="000000" w:fill="DA9393"/>
                  <w:hideMark/>
                </w:tcPr>
                <w:p w14:paraId="46A5010B"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single" w:sz="4" w:space="0" w:color="FFFFFF"/>
                  </w:tcBorders>
                  <w:shd w:val="clear" w:color="000000" w:fill="DA9393"/>
                  <w:hideMark/>
                </w:tcPr>
                <w:p w14:paraId="4325DB7D"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c>
                <w:tcPr>
                  <w:tcW w:w="696" w:type="dxa"/>
                  <w:tcBorders>
                    <w:top w:val="nil"/>
                    <w:left w:val="nil"/>
                    <w:bottom w:val="single" w:sz="4" w:space="0" w:color="FFFFFF"/>
                    <w:right w:val="single" w:sz="4" w:space="0" w:color="FFFFFF"/>
                  </w:tcBorders>
                  <w:shd w:val="clear" w:color="000000" w:fill="DA9393"/>
                  <w:hideMark/>
                </w:tcPr>
                <w:p w14:paraId="1E6211BF"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single" w:sz="4" w:space="0" w:color="FFFFFF"/>
                  </w:tcBorders>
                  <w:shd w:val="clear" w:color="000000" w:fill="C2D69C"/>
                  <w:hideMark/>
                </w:tcPr>
                <w:p w14:paraId="334F7CDE" w14:textId="77777777" w:rsidR="00EE7031" w:rsidRPr="00003067" w:rsidRDefault="00EE7031" w:rsidP="00623BE9">
                  <w:pPr>
                    <w:suppressAutoHyphens w:val="0"/>
                    <w:autoSpaceDN/>
                    <w:spacing w:line="276" w:lineRule="auto"/>
                    <w:ind w:firstLineChars="100" w:firstLine="180"/>
                    <w:jc w:val="both"/>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single" w:sz="4" w:space="0" w:color="FFFFFF"/>
                  </w:tcBorders>
                  <w:shd w:val="clear" w:color="000000" w:fill="DA9393"/>
                  <w:hideMark/>
                </w:tcPr>
                <w:p w14:paraId="0B761822"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c>
                <w:tcPr>
                  <w:tcW w:w="696" w:type="dxa"/>
                  <w:tcBorders>
                    <w:top w:val="nil"/>
                    <w:left w:val="nil"/>
                    <w:bottom w:val="single" w:sz="4" w:space="0" w:color="FFFFFF"/>
                    <w:right w:val="single" w:sz="4" w:space="0" w:color="FFFFFF"/>
                  </w:tcBorders>
                  <w:shd w:val="clear" w:color="000000" w:fill="DA9393"/>
                  <w:hideMark/>
                </w:tcPr>
                <w:p w14:paraId="4C888EC4"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c>
                <w:tcPr>
                  <w:tcW w:w="720" w:type="dxa"/>
                  <w:tcBorders>
                    <w:top w:val="nil"/>
                    <w:left w:val="nil"/>
                    <w:bottom w:val="single" w:sz="4" w:space="0" w:color="FFFFFF"/>
                    <w:right w:val="single" w:sz="4" w:space="0" w:color="FFFFFF"/>
                  </w:tcBorders>
                  <w:shd w:val="clear" w:color="000000" w:fill="DA9393"/>
                  <w:hideMark/>
                </w:tcPr>
                <w:p w14:paraId="2DD9DACF"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c>
                <w:tcPr>
                  <w:tcW w:w="620" w:type="dxa"/>
                  <w:tcBorders>
                    <w:top w:val="nil"/>
                    <w:left w:val="nil"/>
                    <w:bottom w:val="single" w:sz="4" w:space="0" w:color="FFFFFF"/>
                    <w:right w:val="single" w:sz="4" w:space="0" w:color="FFFFFF"/>
                  </w:tcBorders>
                  <w:shd w:val="clear" w:color="000000" w:fill="DB9394"/>
                  <w:hideMark/>
                </w:tcPr>
                <w:p w14:paraId="19ABF65E" w14:textId="77777777" w:rsidR="00EE7031" w:rsidRPr="00003067" w:rsidRDefault="00EE7031" w:rsidP="00623BE9">
                  <w:pPr>
                    <w:suppressAutoHyphens w:val="0"/>
                    <w:autoSpaceDN/>
                    <w:spacing w:line="276" w:lineRule="auto"/>
                    <w:jc w:val="both"/>
                    <w:textAlignment w:val="auto"/>
                    <w:rPr>
                      <w:rFonts w:ascii="Tahoma" w:hAnsi="Tahoma" w:cs="Tahoma"/>
                      <w:sz w:val="18"/>
                      <w:szCs w:val="18"/>
                    </w:rPr>
                  </w:pPr>
                  <w:r w:rsidRPr="00003067">
                    <w:rPr>
                      <w:rFonts w:ascii="Tahoma" w:hAnsi="Tahoma" w:cs="Tahoma"/>
                      <w:sz w:val="18"/>
                      <w:szCs w:val="18"/>
                    </w:rPr>
                    <w:t>-</w:t>
                  </w:r>
                </w:p>
              </w:tc>
              <w:tc>
                <w:tcPr>
                  <w:tcW w:w="728" w:type="dxa"/>
                  <w:tcBorders>
                    <w:top w:val="nil"/>
                    <w:left w:val="nil"/>
                    <w:bottom w:val="single" w:sz="4" w:space="0" w:color="FFFFFF"/>
                    <w:right w:val="nil"/>
                  </w:tcBorders>
                  <w:shd w:val="clear" w:color="000000" w:fill="DB9394"/>
                  <w:hideMark/>
                </w:tcPr>
                <w:p w14:paraId="75172C57" w14:textId="77777777" w:rsidR="00EE7031" w:rsidRPr="00003067" w:rsidRDefault="00EE7031" w:rsidP="00623BE9">
                  <w:pPr>
                    <w:suppressAutoHyphens w:val="0"/>
                    <w:autoSpaceDN/>
                    <w:spacing w:line="276" w:lineRule="auto"/>
                    <w:ind w:firstLineChars="200" w:firstLine="360"/>
                    <w:jc w:val="both"/>
                    <w:textAlignment w:val="auto"/>
                    <w:rPr>
                      <w:rFonts w:ascii="Tahoma" w:hAnsi="Tahoma" w:cs="Tahoma"/>
                      <w:sz w:val="18"/>
                      <w:szCs w:val="18"/>
                    </w:rPr>
                  </w:pPr>
                  <w:r w:rsidRPr="00003067">
                    <w:rPr>
                      <w:rFonts w:ascii="Tahoma" w:hAnsi="Tahoma" w:cs="Tahoma"/>
                      <w:sz w:val="18"/>
                      <w:szCs w:val="18"/>
                    </w:rPr>
                    <w:t>-</w:t>
                  </w:r>
                </w:p>
              </w:tc>
            </w:tr>
          </w:tbl>
          <w:p w14:paraId="6A57AD4E" w14:textId="77777777" w:rsidR="005D0E5D" w:rsidRPr="00623BE9" w:rsidRDefault="005D0E5D" w:rsidP="00623BE9">
            <w:pPr>
              <w:pStyle w:val="BodyText"/>
              <w:spacing w:line="276" w:lineRule="auto"/>
              <w:rPr>
                <w:sz w:val="18"/>
                <w:szCs w:val="18"/>
              </w:rPr>
            </w:pPr>
          </w:p>
          <w:p w14:paraId="2E5C8340" w14:textId="663AB362" w:rsidR="005D0E5D" w:rsidRPr="00623BE9" w:rsidRDefault="005D0E5D" w:rsidP="00623BE9">
            <w:pPr>
              <w:spacing w:line="276" w:lineRule="auto"/>
              <w:jc w:val="both"/>
              <w:rPr>
                <w:rFonts w:ascii="Verdana" w:hAnsi="Verdana" w:cs="Arial"/>
                <w:b/>
                <w:bCs/>
                <w:iCs/>
                <w:sz w:val="20"/>
                <w:szCs w:val="20"/>
              </w:rPr>
            </w:pPr>
            <w:r w:rsidRPr="00623BE9">
              <w:rPr>
                <w:rFonts w:ascii="Verdana" w:hAnsi="Verdana" w:cs="Arial"/>
                <w:b/>
                <w:bCs/>
                <w:iCs/>
                <w:sz w:val="20"/>
                <w:szCs w:val="20"/>
              </w:rPr>
              <w:t xml:space="preserve">RPS response to the Council’s assessment of significant effects – Site 170 </w:t>
            </w:r>
          </w:p>
          <w:p w14:paraId="36A82434" w14:textId="309DA73E" w:rsidR="005D0E5D" w:rsidRPr="00623BE9" w:rsidRDefault="005D0E5D" w:rsidP="00623BE9">
            <w:pPr>
              <w:spacing w:line="276" w:lineRule="auto"/>
              <w:jc w:val="both"/>
              <w:rPr>
                <w:rFonts w:ascii="Verdana" w:hAnsi="Verdana" w:cs="Arial"/>
                <w:sz w:val="20"/>
                <w:szCs w:val="20"/>
              </w:rPr>
            </w:pPr>
            <w:r w:rsidRPr="00623BE9">
              <w:rPr>
                <w:rFonts w:ascii="Verdana" w:hAnsi="Verdana" w:cs="Arial"/>
                <w:sz w:val="20"/>
                <w:szCs w:val="20"/>
              </w:rPr>
              <w:t xml:space="preserve">The Council’s detailed findings with respect to significant effects on site 170 are presented in </w:t>
            </w:r>
            <w:r w:rsidR="005243F8" w:rsidRPr="00623BE9">
              <w:rPr>
                <w:rFonts w:ascii="Verdana" w:hAnsi="Verdana" w:cs="Arial"/>
                <w:sz w:val="20"/>
                <w:szCs w:val="20"/>
              </w:rPr>
              <w:t>Appendix B</w:t>
            </w:r>
            <w:r w:rsidRPr="00623BE9">
              <w:rPr>
                <w:rFonts w:ascii="Verdana" w:hAnsi="Verdana" w:cs="Arial"/>
                <w:sz w:val="20"/>
                <w:szCs w:val="20"/>
              </w:rPr>
              <w:t xml:space="preserve"> </w:t>
            </w:r>
            <w:r w:rsidR="005243F8" w:rsidRPr="00623BE9">
              <w:rPr>
                <w:rFonts w:ascii="Verdana" w:hAnsi="Verdana" w:cs="Arial"/>
                <w:sz w:val="20"/>
                <w:szCs w:val="20"/>
              </w:rPr>
              <w:t>(S</w:t>
            </w:r>
            <w:r w:rsidRPr="00623BE9">
              <w:rPr>
                <w:rFonts w:ascii="Verdana" w:hAnsi="Verdana" w:cs="Arial"/>
                <w:sz w:val="20"/>
                <w:szCs w:val="20"/>
              </w:rPr>
              <w:t>ection B.12</w:t>
            </w:r>
            <w:r w:rsidR="005243F8" w:rsidRPr="00623BE9">
              <w:rPr>
                <w:rFonts w:ascii="Verdana" w:hAnsi="Verdana" w:cs="Arial"/>
                <w:sz w:val="20"/>
                <w:szCs w:val="20"/>
              </w:rPr>
              <w:t>)</w:t>
            </w:r>
            <w:r w:rsidRPr="00623BE9">
              <w:rPr>
                <w:rFonts w:ascii="Verdana" w:hAnsi="Verdana" w:cs="Arial"/>
                <w:sz w:val="20"/>
                <w:szCs w:val="20"/>
              </w:rPr>
              <w:t xml:space="preserve"> of the SAPOP, alongside all the other reasonable alternative sites identified at Featherstone.</w:t>
            </w:r>
          </w:p>
          <w:p w14:paraId="0B9F0824" w14:textId="77777777" w:rsidR="003409B7" w:rsidRPr="00623BE9" w:rsidRDefault="003409B7" w:rsidP="00623BE9">
            <w:pPr>
              <w:spacing w:line="276" w:lineRule="auto"/>
              <w:jc w:val="both"/>
              <w:rPr>
                <w:rFonts w:ascii="Verdana" w:hAnsi="Verdana" w:cs="Arial"/>
                <w:sz w:val="20"/>
                <w:szCs w:val="20"/>
              </w:rPr>
            </w:pPr>
          </w:p>
          <w:p w14:paraId="2420A132" w14:textId="77777777" w:rsidR="003409B7" w:rsidRPr="00623BE9" w:rsidRDefault="003409B7" w:rsidP="00623BE9">
            <w:pPr>
              <w:spacing w:line="276" w:lineRule="auto"/>
              <w:jc w:val="both"/>
              <w:rPr>
                <w:rFonts w:ascii="Verdana" w:hAnsi="Verdana" w:cs="Arial"/>
                <w:sz w:val="20"/>
                <w:szCs w:val="20"/>
              </w:rPr>
            </w:pPr>
            <w:r w:rsidRPr="00623BE9">
              <w:rPr>
                <w:rFonts w:ascii="Verdana" w:hAnsi="Verdana" w:cs="Arial"/>
                <w:sz w:val="20"/>
                <w:szCs w:val="20"/>
              </w:rPr>
              <w:t xml:space="preserve">For clarification, the analysis set out here relates to the ‘post-mitigation’ appraisal for the site.  </w:t>
            </w:r>
          </w:p>
          <w:p w14:paraId="09052429" w14:textId="77777777" w:rsidR="003409B7" w:rsidRPr="00623BE9" w:rsidRDefault="003409B7" w:rsidP="00623BE9">
            <w:pPr>
              <w:spacing w:line="276" w:lineRule="auto"/>
              <w:jc w:val="both"/>
              <w:rPr>
                <w:rFonts w:ascii="Verdana" w:hAnsi="Verdana" w:cs="Arial"/>
                <w:sz w:val="20"/>
                <w:szCs w:val="20"/>
              </w:rPr>
            </w:pPr>
          </w:p>
          <w:p w14:paraId="7F6D95A3" w14:textId="6E1BEB3C" w:rsidR="003409B7" w:rsidRPr="00623BE9" w:rsidRDefault="003409B7" w:rsidP="00623BE9">
            <w:pPr>
              <w:spacing w:line="276" w:lineRule="auto"/>
              <w:jc w:val="both"/>
              <w:rPr>
                <w:rFonts w:ascii="Verdana" w:hAnsi="Verdana" w:cs="Arial"/>
                <w:bCs/>
                <w:i/>
                <w:iCs/>
                <w:sz w:val="20"/>
                <w:szCs w:val="20"/>
                <w:u w:val="single"/>
              </w:rPr>
            </w:pPr>
            <w:r w:rsidRPr="00623BE9">
              <w:rPr>
                <w:rFonts w:ascii="Verdana" w:hAnsi="Verdana" w:cs="Arial"/>
                <w:bCs/>
                <w:i/>
                <w:iCs/>
                <w:sz w:val="20"/>
                <w:szCs w:val="20"/>
                <w:u w:val="single"/>
              </w:rPr>
              <w:t xml:space="preserve">SA Objective 4 - Landscape and Townscape </w:t>
            </w:r>
          </w:p>
          <w:p w14:paraId="299995B5" w14:textId="1F27AB8A" w:rsidR="003409B7" w:rsidRPr="00623BE9" w:rsidRDefault="003409B7"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The Council has determined that site 170 would have a ‘minor negative’ effect in relation to both Green Belt harm (see paragraph B12.4.2) and landscape impact (see paragraph B.12.4.5). RPS does not consider the findings of effects against this objective to be soundly-based.</w:t>
            </w:r>
          </w:p>
          <w:p w14:paraId="267B1EC6" w14:textId="4C06528C" w:rsidR="003409B7" w:rsidRPr="00623BE9" w:rsidRDefault="003409B7"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 </w:t>
            </w:r>
          </w:p>
          <w:p w14:paraId="5C5852AB" w14:textId="5A018389" w:rsidR="003409B7" w:rsidRPr="00623BE9" w:rsidRDefault="003409B7"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With respect to Green Belt, RPS would question the relevance of including consideration of Green Belt under this objective, given the fact that Green Belt is a strategic designation based on five purposes, none of which relate to landscape factors. In any event, based on evidence set out in the Vision Document submitted in support of the Site (Appendix A, page 30-31), RPS does not consider the Council’s conclusion that development on this site would cause ‘moderate harm’ to the Green Belt purposes soundly-based (see separate submission to the Green Belt Policy DS4 for further details). </w:t>
            </w:r>
          </w:p>
          <w:p w14:paraId="7209E530" w14:textId="77777777" w:rsidR="003409B7" w:rsidRPr="00623BE9" w:rsidRDefault="003409B7" w:rsidP="00623BE9">
            <w:pPr>
              <w:tabs>
                <w:tab w:val="num" w:pos="907"/>
              </w:tabs>
              <w:spacing w:line="276" w:lineRule="auto"/>
              <w:jc w:val="both"/>
              <w:rPr>
                <w:rFonts w:ascii="Verdana" w:hAnsi="Verdana" w:cs="Arial"/>
                <w:sz w:val="20"/>
                <w:szCs w:val="20"/>
              </w:rPr>
            </w:pPr>
          </w:p>
          <w:p w14:paraId="43684190" w14:textId="1DB6121A" w:rsidR="003409B7" w:rsidRPr="00623BE9" w:rsidRDefault="003409B7"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In relation to landscape sensitivity, RPS would highlight the point that previous proposals submitted on this site (under planning application ref. 06/00638/OUT) would not have led to significant landscape impact, as summarised in the Vision Document (</w:t>
            </w:r>
            <w:r w:rsidRPr="00623BE9">
              <w:rPr>
                <w:rFonts w:ascii="Verdana" w:hAnsi="Verdana" w:cs="Arial"/>
                <w:b/>
                <w:bCs/>
                <w:sz w:val="20"/>
                <w:szCs w:val="20"/>
              </w:rPr>
              <w:t>Appendix A, page 3</w:t>
            </w:r>
            <w:r w:rsidRPr="00623BE9">
              <w:rPr>
                <w:rFonts w:ascii="Verdana" w:hAnsi="Verdana" w:cs="Arial"/>
                <w:sz w:val="20"/>
                <w:szCs w:val="20"/>
              </w:rPr>
              <w:t>). In particular, the Secretary of State agreed with the Inspector (at paragraph 27 of his final report) that the site is very well contained within firmly defined boundaries and that the scheme would not have a materially harmful effect on the landscape character of the area.</w:t>
            </w:r>
          </w:p>
          <w:p w14:paraId="233DE343" w14:textId="77777777" w:rsidR="003409B7" w:rsidRPr="00623BE9" w:rsidRDefault="003409B7" w:rsidP="00623BE9">
            <w:pPr>
              <w:tabs>
                <w:tab w:val="num" w:pos="907"/>
              </w:tabs>
              <w:spacing w:line="276" w:lineRule="auto"/>
              <w:jc w:val="both"/>
              <w:rPr>
                <w:rFonts w:ascii="Verdana" w:hAnsi="Verdana" w:cs="Arial"/>
                <w:sz w:val="20"/>
                <w:szCs w:val="20"/>
              </w:rPr>
            </w:pPr>
          </w:p>
          <w:p w14:paraId="11A80A2E" w14:textId="00AA6052" w:rsidR="003409B7" w:rsidRPr="00623BE9" w:rsidRDefault="003409B7"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In addition, the revised proposals for the site are supported by a Landscape and Visual Impact Appraisal, which has informed the illustrative masterplan for the site (Appendix A, page 4). The masterplan shows that a significant portion of the site would remain as open land with improvements to landscaping within and along the boundary of the site. This would further reduce any potential landscape impact from new development in this location.  </w:t>
            </w:r>
          </w:p>
          <w:p w14:paraId="0D7F9E06" w14:textId="77777777" w:rsidR="003409B7" w:rsidRPr="00623BE9" w:rsidRDefault="003409B7" w:rsidP="00623BE9">
            <w:pPr>
              <w:spacing w:line="276" w:lineRule="auto"/>
              <w:jc w:val="both"/>
              <w:rPr>
                <w:rFonts w:ascii="Verdana" w:hAnsi="Verdana" w:cs="Arial"/>
                <w:sz w:val="20"/>
                <w:szCs w:val="20"/>
              </w:rPr>
            </w:pPr>
          </w:p>
          <w:p w14:paraId="7CECFCF0" w14:textId="585300B3" w:rsidR="00EE7031" w:rsidRPr="00623BE9" w:rsidRDefault="003409B7" w:rsidP="00623BE9">
            <w:pPr>
              <w:spacing w:line="276" w:lineRule="auto"/>
              <w:jc w:val="both"/>
              <w:rPr>
                <w:rFonts w:ascii="Verdana" w:hAnsi="Verdana" w:cs="Arial"/>
                <w:sz w:val="20"/>
                <w:szCs w:val="20"/>
              </w:rPr>
            </w:pPr>
            <w:r w:rsidRPr="00623BE9">
              <w:rPr>
                <w:rFonts w:ascii="Verdana" w:hAnsi="Verdana" w:cs="Arial"/>
                <w:sz w:val="20"/>
                <w:szCs w:val="20"/>
              </w:rPr>
              <w:t>On this basis, RPS the Council’s findings are not soundly-based (not justified) and would recommend that the score for the site should be amended to ‘</w:t>
            </w:r>
            <w:r w:rsidR="005243F8" w:rsidRPr="00623BE9">
              <w:rPr>
                <w:rFonts w:ascii="Verdana" w:hAnsi="Verdana" w:cs="Arial"/>
                <w:sz w:val="20"/>
                <w:szCs w:val="20"/>
              </w:rPr>
              <w:t>negligible’</w:t>
            </w:r>
            <w:r w:rsidRPr="00623BE9">
              <w:rPr>
                <w:rFonts w:ascii="Verdana" w:hAnsi="Verdana" w:cs="Arial"/>
                <w:sz w:val="20"/>
                <w:szCs w:val="20"/>
              </w:rPr>
              <w:t>.</w:t>
            </w:r>
          </w:p>
          <w:p w14:paraId="146B53CE" w14:textId="747ACB5E" w:rsidR="003409B7" w:rsidRPr="00623BE9" w:rsidRDefault="003409B7" w:rsidP="00623BE9">
            <w:pPr>
              <w:spacing w:line="276" w:lineRule="auto"/>
              <w:jc w:val="both"/>
              <w:rPr>
                <w:rFonts w:ascii="Verdana" w:hAnsi="Verdana" w:cs="Arial"/>
                <w:sz w:val="20"/>
                <w:szCs w:val="20"/>
              </w:rPr>
            </w:pPr>
          </w:p>
          <w:p w14:paraId="25D8C492" w14:textId="3055FEC7" w:rsidR="003409B7" w:rsidRPr="00623BE9" w:rsidRDefault="005073CE" w:rsidP="00623BE9">
            <w:pPr>
              <w:spacing w:line="276" w:lineRule="auto"/>
              <w:jc w:val="both"/>
              <w:rPr>
                <w:rFonts w:ascii="Verdana" w:hAnsi="Verdana" w:cs="Arial"/>
                <w:i/>
                <w:iCs/>
                <w:sz w:val="20"/>
                <w:szCs w:val="20"/>
                <w:u w:val="single"/>
              </w:rPr>
            </w:pPr>
            <w:r w:rsidRPr="00623BE9">
              <w:rPr>
                <w:rFonts w:ascii="Verdana" w:hAnsi="Verdana" w:cs="Arial"/>
                <w:i/>
                <w:iCs/>
                <w:sz w:val="20"/>
                <w:szCs w:val="20"/>
                <w:u w:val="single"/>
              </w:rPr>
              <w:t>SA Objective 5 – Pollution and Waste</w:t>
            </w:r>
          </w:p>
          <w:p w14:paraId="69DB049E" w14:textId="243BD59C" w:rsidR="005243F8" w:rsidRPr="00623BE9" w:rsidRDefault="005243F8"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The Council has determined that site 170 would have a ‘minor negative’ effect in relation to this SA objective. In relation to air and noise, the reason given is due to the proximity of the site to the M54, which could potentially expose some site end users to higher levels of transport associated air and noise pollution. Also, the Council claims that traffic using the A460, M54 and A449 would be expected to have a minor negative impact on air quality and noise at the </w:t>
            </w:r>
            <w:r w:rsidR="001B4D95" w:rsidRPr="00623BE9">
              <w:rPr>
                <w:rFonts w:ascii="Verdana" w:hAnsi="Verdana" w:cs="Arial"/>
                <w:sz w:val="20"/>
                <w:szCs w:val="20"/>
              </w:rPr>
              <w:t>S</w:t>
            </w:r>
            <w:r w:rsidRPr="00623BE9">
              <w:rPr>
                <w:rFonts w:ascii="Verdana" w:hAnsi="Verdana" w:cs="Arial"/>
                <w:sz w:val="20"/>
                <w:szCs w:val="20"/>
              </w:rPr>
              <w:t>ite.</w:t>
            </w:r>
            <w:r w:rsidR="001B4D95" w:rsidRPr="00623BE9">
              <w:rPr>
                <w:rFonts w:ascii="Verdana" w:hAnsi="Verdana" w:cs="Arial"/>
                <w:sz w:val="20"/>
                <w:szCs w:val="20"/>
              </w:rPr>
              <w:t xml:space="preserve"> </w:t>
            </w:r>
            <w:r w:rsidRPr="00623BE9">
              <w:rPr>
                <w:rFonts w:ascii="Verdana" w:hAnsi="Verdana" w:cs="Arial"/>
                <w:sz w:val="20"/>
                <w:szCs w:val="20"/>
              </w:rPr>
              <w:t xml:space="preserve">In relation to watercourses, the reason given for the minor negative score is that a proportion of the site is located within 200m of a minor watercourse and that, because of this, development at the </w:t>
            </w:r>
            <w:r w:rsidR="001B4D95" w:rsidRPr="00623BE9">
              <w:rPr>
                <w:rFonts w:ascii="Verdana" w:hAnsi="Verdana" w:cs="Arial"/>
                <w:sz w:val="20"/>
                <w:szCs w:val="20"/>
              </w:rPr>
              <w:t>S</w:t>
            </w:r>
            <w:r w:rsidRPr="00623BE9">
              <w:rPr>
                <w:rFonts w:ascii="Verdana" w:hAnsi="Verdana" w:cs="Arial"/>
                <w:sz w:val="20"/>
                <w:szCs w:val="20"/>
              </w:rPr>
              <w:t>ite could potentially increase the risk of contamination of this watercourse.</w:t>
            </w:r>
          </w:p>
          <w:p w14:paraId="6860D0A1" w14:textId="77777777" w:rsidR="005243F8" w:rsidRPr="00623BE9" w:rsidRDefault="005243F8" w:rsidP="00623BE9">
            <w:pPr>
              <w:tabs>
                <w:tab w:val="num" w:pos="907"/>
              </w:tabs>
              <w:spacing w:line="276" w:lineRule="auto"/>
              <w:jc w:val="both"/>
              <w:rPr>
                <w:rFonts w:ascii="Verdana" w:hAnsi="Verdana" w:cs="Arial"/>
                <w:sz w:val="20"/>
                <w:szCs w:val="20"/>
              </w:rPr>
            </w:pPr>
          </w:p>
          <w:p w14:paraId="124D097A" w14:textId="1549F11D" w:rsidR="005243F8" w:rsidRPr="00623BE9" w:rsidRDefault="005243F8"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RPS contends that these effects are over-stated when taking into account the potential for mitigation. On the potential for negative air and noise effects from the M54, the Vision Document (page 40) highlights that the issue of noise was considered as part of the earlier planning application and appeal at the site (referred to above) and both the Planning Inspector and the Secretary of State concluded that this would not represent a barrier to development and that the detailed design stage would be the appropriate time to consider suitable mitigation. The Illustrative Masterplan (Appendix ) shows that the proposed dwellings would be a minimum of 100m from the M54, but parts of the built development would be over 200 metres from the motorway. Notably, there would be more than sufficient space to provide any necessary noise mitigation measures within the proposed linear country park. Furthermore, it is noted that under SA Objective 8 (Health and Well-being) that the site is located more than 200 metres from an Air Quality Management Area (AQMA). This is clear sign that air pollution is unlikely to lead to significant effects as a result of development being located on the site, and would score the </w:t>
            </w:r>
            <w:r w:rsidR="001B4D95" w:rsidRPr="00623BE9">
              <w:rPr>
                <w:rFonts w:ascii="Verdana" w:hAnsi="Verdana" w:cs="Arial"/>
                <w:sz w:val="20"/>
                <w:szCs w:val="20"/>
              </w:rPr>
              <w:t>S</w:t>
            </w:r>
            <w:r w:rsidRPr="00623BE9">
              <w:rPr>
                <w:rFonts w:ascii="Verdana" w:hAnsi="Verdana" w:cs="Arial"/>
                <w:sz w:val="20"/>
                <w:szCs w:val="20"/>
              </w:rPr>
              <w:t>ite as ‘</w:t>
            </w:r>
            <w:r w:rsidR="001B4D95" w:rsidRPr="00623BE9">
              <w:rPr>
                <w:rFonts w:ascii="Verdana" w:hAnsi="Verdana" w:cs="Arial"/>
                <w:sz w:val="20"/>
                <w:szCs w:val="20"/>
              </w:rPr>
              <w:t>negligible</w:t>
            </w:r>
            <w:r w:rsidRPr="00623BE9">
              <w:rPr>
                <w:rFonts w:ascii="Verdana" w:hAnsi="Verdana" w:cs="Arial"/>
                <w:sz w:val="20"/>
                <w:szCs w:val="20"/>
              </w:rPr>
              <w:t xml:space="preserve"> under this objective.</w:t>
            </w:r>
          </w:p>
          <w:p w14:paraId="166D79B1" w14:textId="77777777" w:rsidR="005243F8" w:rsidRPr="00623BE9" w:rsidRDefault="005243F8" w:rsidP="00623BE9">
            <w:pPr>
              <w:tabs>
                <w:tab w:val="num" w:pos="907"/>
              </w:tabs>
              <w:spacing w:line="276" w:lineRule="auto"/>
              <w:jc w:val="both"/>
              <w:rPr>
                <w:rFonts w:ascii="Verdana" w:hAnsi="Verdana" w:cs="Arial"/>
                <w:sz w:val="20"/>
                <w:szCs w:val="20"/>
              </w:rPr>
            </w:pPr>
          </w:p>
          <w:p w14:paraId="30714C43" w14:textId="5641D7C0" w:rsidR="005243F8" w:rsidRPr="00623BE9" w:rsidRDefault="005243F8"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RPS also notes that pollution effects has not been identified by the Council as reasons to reject the site as a potential allocation (see Housing Site Selection Topic Paper Appendix 3 – Site Proformas). Similarly, air quality issues can be satisfactorily addressed at the detailed design stage and does not preclude development from coming forward on the </w:t>
            </w:r>
            <w:r w:rsidR="001B4D95" w:rsidRPr="00623BE9">
              <w:rPr>
                <w:rFonts w:ascii="Verdana" w:hAnsi="Verdana" w:cs="Arial"/>
                <w:sz w:val="20"/>
                <w:szCs w:val="20"/>
              </w:rPr>
              <w:t>S</w:t>
            </w:r>
            <w:r w:rsidRPr="00623BE9">
              <w:rPr>
                <w:rFonts w:ascii="Verdana" w:hAnsi="Verdana" w:cs="Arial"/>
                <w:sz w:val="20"/>
                <w:szCs w:val="20"/>
              </w:rPr>
              <w:t>ite.</w:t>
            </w:r>
            <w:r w:rsidR="001B4D95" w:rsidRPr="00623BE9">
              <w:rPr>
                <w:rFonts w:ascii="Verdana" w:hAnsi="Verdana" w:cs="Arial"/>
                <w:sz w:val="20"/>
                <w:szCs w:val="20"/>
              </w:rPr>
              <w:t xml:space="preserve"> Furthermore, as highlighted under separate submissions, the Reg 19 SA has not taken into account recent events, notably the decision made the Government in April 2022 to allow the construction of a new M54/M6/M6 Toll/ A460 link road. This will significantly reduce vehicle traffic flows along the A460 and also the M54 slip road onto the A460, thus leading to a reduction in pollution levels in the vicinity of the Site, which in turn will reduce the significance of these effects in sustainability terms.   </w:t>
            </w:r>
          </w:p>
          <w:p w14:paraId="04370B48" w14:textId="77777777" w:rsidR="005243F8" w:rsidRPr="00623BE9" w:rsidRDefault="005243F8" w:rsidP="00623BE9">
            <w:pPr>
              <w:tabs>
                <w:tab w:val="num" w:pos="907"/>
              </w:tabs>
              <w:spacing w:line="276" w:lineRule="auto"/>
              <w:jc w:val="both"/>
              <w:rPr>
                <w:rFonts w:ascii="Verdana" w:hAnsi="Verdana" w:cs="Arial"/>
                <w:sz w:val="20"/>
                <w:szCs w:val="20"/>
              </w:rPr>
            </w:pPr>
          </w:p>
          <w:p w14:paraId="05877000" w14:textId="77777777" w:rsidR="005243F8" w:rsidRPr="00623BE9" w:rsidRDefault="005243F8"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For water, RPS highlights that the illustrative masterplan shows that any bult development would set back from existing watercourses in the vicinity and within the site and, notably, a sustainable urban drainage system will be designed and installed as part of development on the site. These measures would mitigate the potential negative effects identified in the SAPOP.   </w:t>
            </w:r>
          </w:p>
          <w:p w14:paraId="17C5C22F" w14:textId="77777777" w:rsidR="005243F8" w:rsidRPr="00623BE9" w:rsidRDefault="005243F8" w:rsidP="00623BE9">
            <w:pPr>
              <w:spacing w:line="276" w:lineRule="auto"/>
              <w:jc w:val="both"/>
              <w:rPr>
                <w:rFonts w:ascii="Verdana" w:hAnsi="Verdana" w:cs="Arial"/>
                <w:sz w:val="20"/>
                <w:szCs w:val="20"/>
              </w:rPr>
            </w:pPr>
          </w:p>
          <w:p w14:paraId="3DB754EA" w14:textId="433F65C0" w:rsidR="003409B7" w:rsidRPr="00623BE9" w:rsidRDefault="005243F8" w:rsidP="00623BE9">
            <w:pPr>
              <w:spacing w:line="276" w:lineRule="auto"/>
              <w:jc w:val="both"/>
              <w:rPr>
                <w:rFonts w:ascii="Verdana" w:hAnsi="Verdana" w:cs="Arial"/>
                <w:sz w:val="20"/>
                <w:szCs w:val="20"/>
              </w:rPr>
            </w:pPr>
            <w:r w:rsidRPr="00623BE9">
              <w:rPr>
                <w:rFonts w:ascii="Verdana" w:hAnsi="Verdana" w:cs="Arial"/>
                <w:sz w:val="20"/>
                <w:szCs w:val="20"/>
              </w:rPr>
              <w:t xml:space="preserve">For these reasons, RPS </w:t>
            </w:r>
            <w:r w:rsidR="001B4D95" w:rsidRPr="00623BE9">
              <w:rPr>
                <w:rFonts w:ascii="Verdana" w:hAnsi="Verdana" w:cs="Arial"/>
                <w:sz w:val="20"/>
                <w:szCs w:val="20"/>
              </w:rPr>
              <w:t xml:space="preserve">contends that the appraisal of the Site under this objective has ignored some factors that are clearly relevant to the appraisal of the likely significant pollution effects from development on the Site. RPS </w:t>
            </w:r>
            <w:r w:rsidRPr="00623BE9">
              <w:rPr>
                <w:rFonts w:ascii="Verdana" w:hAnsi="Verdana" w:cs="Arial"/>
                <w:sz w:val="20"/>
                <w:szCs w:val="20"/>
              </w:rPr>
              <w:t xml:space="preserve">contends </w:t>
            </w:r>
            <w:r w:rsidR="001B4D95" w:rsidRPr="00623BE9">
              <w:rPr>
                <w:rFonts w:ascii="Verdana" w:hAnsi="Verdana" w:cs="Arial"/>
                <w:sz w:val="20"/>
                <w:szCs w:val="20"/>
              </w:rPr>
              <w:t xml:space="preserve">the findings under this objective are not soundly-based (not justified) and </w:t>
            </w:r>
            <w:r w:rsidRPr="00623BE9">
              <w:rPr>
                <w:rFonts w:ascii="Verdana" w:hAnsi="Verdana" w:cs="Arial"/>
                <w:sz w:val="20"/>
                <w:szCs w:val="20"/>
              </w:rPr>
              <w:t>that the overall score under this objective should be altered to ‘negligible’.</w:t>
            </w:r>
          </w:p>
          <w:p w14:paraId="722F5F33" w14:textId="3AA8B0F4" w:rsidR="001B4D95" w:rsidRPr="00623BE9" w:rsidRDefault="001B4D95" w:rsidP="00623BE9">
            <w:pPr>
              <w:spacing w:line="276" w:lineRule="auto"/>
              <w:jc w:val="both"/>
              <w:rPr>
                <w:rFonts w:ascii="Verdana" w:hAnsi="Verdana" w:cs="Arial"/>
                <w:sz w:val="20"/>
                <w:szCs w:val="20"/>
              </w:rPr>
            </w:pPr>
          </w:p>
          <w:p w14:paraId="5EF32851" w14:textId="77777777" w:rsidR="00327259" w:rsidRPr="00623BE9" w:rsidRDefault="00327259" w:rsidP="00623BE9">
            <w:pPr>
              <w:spacing w:line="276" w:lineRule="auto"/>
              <w:jc w:val="both"/>
              <w:rPr>
                <w:rFonts w:ascii="Verdana" w:hAnsi="Verdana" w:cs="Arial"/>
                <w:i/>
                <w:iCs/>
                <w:sz w:val="20"/>
                <w:szCs w:val="20"/>
                <w:u w:val="single"/>
              </w:rPr>
            </w:pPr>
            <w:r w:rsidRPr="00623BE9">
              <w:rPr>
                <w:rFonts w:ascii="Verdana" w:hAnsi="Verdana" w:cs="Arial"/>
                <w:i/>
                <w:iCs/>
                <w:sz w:val="20"/>
                <w:szCs w:val="20"/>
                <w:u w:val="single"/>
              </w:rPr>
              <w:t xml:space="preserve">SA Objective 6 - Natural Resources </w:t>
            </w:r>
          </w:p>
          <w:p w14:paraId="315E8C9C" w14:textId="1031224A" w:rsidR="00327259" w:rsidRPr="00623BE9" w:rsidRDefault="00327259"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The Council has determined that site 170 would have a ‘minor negative’ effect in relation to this SA objective. This is due to the site being deemed ‘previously undeveloped’ and that development of the site would result in an ‘… </w:t>
            </w:r>
            <w:r w:rsidRPr="00623BE9">
              <w:rPr>
                <w:rFonts w:ascii="Verdana" w:hAnsi="Verdana" w:cs="Arial"/>
                <w:i/>
                <w:iCs/>
                <w:sz w:val="20"/>
                <w:szCs w:val="20"/>
              </w:rPr>
              <w:t>inefficient use of land and the permanent and irreversible loss of ecologically valuable soils</w:t>
            </w:r>
            <w:r w:rsidRPr="00623BE9">
              <w:rPr>
                <w:rFonts w:ascii="Verdana" w:hAnsi="Verdana" w:cs="Arial"/>
                <w:sz w:val="20"/>
                <w:szCs w:val="20"/>
              </w:rPr>
              <w:t>….’ (see paragraph B.12.61 of the SAPOP). In addition, the Council claims that the site is part of ALC Grades 2 or 3, and so development would lead to the loss of this ‘…</w:t>
            </w:r>
            <w:r w:rsidRPr="00623BE9">
              <w:rPr>
                <w:rFonts w:ascii="Verdana" w:hAnsi="Verdana" w:cs="Arial"/>
                <w:i/>
                <w:iCs/>
                <w:sz w:val="20"/>
                <w:szCs w:val="20"/>
              </w:rPr>
              <w:t xml:space="preserve">agriculturally important natural resource…’ </w:t>
            </w:r>
            <w:r w:rsidRPr="00623BE9">
              <w:rPr>
                <w:rFonts w:ascii="Verdana" w:hAnsi="Verdana" w:cs="Arial"/>
                <w:sz w:val="20"/>
                <w:szCs w:val="20"/>
              </w:rPr>
              <w:t>(see paragraph B.12.6.2).</w:t>
            </w:r>
          </w:p>
          <w:p w14:paraId="47FD185F" w14:textId="77777777" w:rsidR="00327259" w:rsidRPr="00623BE9" w:rsidRDefault="00327259" w:rsidP="00623BE9">
            <w:pPr>
              <w:tabs>
                <w:tab w:val="num" w:pos="907"/>
              </w:tabs>
              <w:spacing w:line="276" w:lineRule="auto"/>
              <w:jc w:val="both"/>
              <w:rPr>
                <w:rFonts w:ascii="Verdana" w:hAnsi="Verdana" w:cs="Arial"/>
                <w:sz w:val="20"/>
                <w:szCs w:val="20"/>
              </w:rPr>
            </w:pPr>
          </w:p>
          <w:p w14:paraId="134506B4" w14:textId="4463CE1A" w:rsidR="00327259" w:rsidRPr="00623BE9" w:rsidRDefault="00327259"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RPS disputes the score </w:t>
            </w:r>
            <w:r w:rsidR="002D1AA4" w:rsidRPr="00623BE9">
              <w:rPr>
                <w:rFonts w:ascii="Verdana" w:hAnsi="Verdana" w:cs="Arial"/>
                <w:sz w:val="20"/>
                <w:szCs w:val="20"/>
              </w:rPr>
              <w:t>given for</w:t>
            </w:r>
            <w:r w:rsidRPr="00623BE9">
              <w:rPr>
                <w:rFonts w:ascii="Verdana" w:hAnsi="Verdana" w:cs="Arial"/>
                <w:sz w:val="20"/>
                <w:szCs w:val="20"/>
              </w:rPr>
              <w:t xml:space="preserve"> the site. Firstly, the site has been used for cultivation more many years and so, for the vast majority of the site, it is disputed whether the soils are, in fact, of ‘ecologically valuable’ given its current use. This is supported by technical work undertaken to inform the Vision Document (Appendix A, page 39) which indicates that the site is ‘...</w:t>
            </w:r>
            <w:r w:rsidRPr="00623BE9">
              <w:rPr>
                <w:rFonts w:ascii="Verdana" w:hAnsi="Verdana" w:cs="Arial"/>
                <w:i/>
                <w:iCs/>
                <w:sz w:val="20"/>
                <w:szCs w:val="20"/>
              </w:rPr>
              <w:t>largely of low ecological value in terms of the habitats and species that it supports</w:t>
            </w:r>
            <w:r w:rsidRPr="00623BE9">
              <w:rPr>
                <w:rFonts w:ascii="Verdana" w:hAnsi="Verdana" w:cs="Arial"/>
                <w:sz w:val="20"/>
                <w:szCs w:val="20"/>
              </w:rPr>
              <w:t>…’. It is therefore important to note that the low value habitats found on the site are there as a result of the soils on the site. Secondly, the SA methodology used to score the site as minor negative in relation to agricultural land is predicated on the mis-conception that all land within grade 3 is ‘best and most versatile’ (BMV). This is not the case, as only land that is classed as ‘Grade 3a’ should be considered potentially BMV land</w:t>
            </w:r>
            <w:r w:rsidRPr="00623BE9">
              <w:rPr>
                <w:rFonts w:ascii="Verdana" w:hAnsi="Verdana" w:cs="Arial"/>
                <w:sz w:val="20"/>
                <w:szCs w:val="20"/>
                <w:vertAlign w:val="superscript"/>
              </w:rPr>
              <w:footnoteReference w:id="1"/>
            </w:r>
            <w:r w:rsidRPr="00623BE9">
              <w:rPr>
                <w:rFonts w:ascii="Verdana" w:hAnsi="Verdana" w:cs="Arial"/>
                <w:sz w:val="20"/>
                <w:szCs w:val="20"/>
              </w:rPr>
              <w:t xml:space="preserve">.  Similarly, whilst the site is noted as being within an area graded Grade 3, no evidence is presented by the Council which shows the site to be of Grade 3a value, and thus classed as </w:t>
            </w:r>
            <w:r w:rsidR="002D1AA4" w:rsidRPr="00623BE9">
              <w:rPr>
                <w:rFonts w:ascii="Verdana" w:hAnsi="Verdana" w:cs="Arial"/>
                <w:sz w:val="20"/>
                <w:szCs w:val="20"/>
              </w:rPr>
              <w:t>‘</w:t>
            </w:r>
            <w:r w:rsidRPr="00623BE9">
              <w:rPr>
                <w:rFonts w:ascii="Verdana" w:hAnsi="Verdana" w:cs="Arial"/>
                <w:sz w:val="20"/>
                <w:szCs w:val="20"/>
              </w:rPr>
              <w:t>BMV</w:t>
            </w:r>
            <w:r w:rsidR="002D1AA4" w:rsidRPr="00623BE9">
              <w:rPr>
                <w:rFonts w:ascii="Verdana" w:hAnsi="Verdana" w:cs="Arial"/>
                <w:sz w:val="20"/>
                <w:szCs w:val="20"/>
              </w:rPr>
              <w:t>’</w:t>
            </w:r>
            <w:r w:rsidRPr="00623BE9">
              <w:rPr>
                <w:rFonts w:ascii="Verdana" w:hAnsi="Verdana" w:cs="Arial"/>
                <w:sz w:val="20"/>
                <w:szCs w:val="20"/>
              </w:rPr>
              <w:t xml:space="preserve"> land. </w:t>
            </w:r>
          </w:p>
          <w:p w14:paraId="400FD69A" w14:textId="77777777" w:rsidR="00327259" w:rsidRPr="00623BE9" w:rsidRDefault="00327259" w:rsidP="00623BE9">
            <w:pPr>
              <w:tabs>
                <w:tab w:val="num" w:pos="907"/>
              </w:tabs>
              <w:spacing w:line="276" w:lineRule="auto"/>
              <w:jc w:val="both"/>
              <w:rPr>
                <w:rFonts w:ascii="Verdana" w:hAnsi="Verdana" w:cs="Arial"/>
                <w:sz w:val="20"/>
                <w:szCs w:val="20"/>
              </w:rPr>
            </w:pPr>
          </w:p>
          <w:p w14:paraId="7EC5F72F" w14:textId="37CA52E3" w:rsidR="001B4D95" w:rsidRPr="00623BE9" w:rsidRDefault="00327259" w:rsidP="00623BE9">
            <w:pPr>
              <w:spacing w:line="276" w:lineRule="auto"/>
              <w:jc w:val="both"/>
              <w:rPr>
                <w:rFonts w:ascii="Verdana" w:hAnsi="Verdana" w:cs="Arial"/>
                <w:sz w:val="20"/>
                <w:szCs w:val="20"/>
              </w:rPr>
            </w:pPr>
            <w:r w:rsidRPr="00623BE9">
              <w:rPr>
                <w:rFonts w:ascii="Verdana" w:hAnsi="Verdana" w:cs="Arial"/>
                <w:sz w:val="20"/>
                <w:szCs w:val="20"/>
              </w:rPr>
              <w:t xml:space="preserve">In light of the above, RPS contends that the site should not be scored ‘minor negative’ under this objective without sufficient evidence to support the Council’s claim. </w:t>
            </w:r>
            <w:r w:rsidR="002D1AA4" w:rsidRPr="00623BE9">
              <w:rPr>
                <w:rFonts w:ascii="Verdana" w:hAnsi="Verdana" w:cs="Arial"/>
                <w:sz w:val="20"/>
                <w:szCs w:val="20"/>
              </w:rPr>
              <w:t xml:space="preserve">On this basis, </w:t>
            </w:r>
            <w:r w:rsidRPr="00623BE9">
              <w:rPr>
                <w:rFonts w:ascii="Verdana" w:hAnsi="Verdana" w:cs="Arial"/>
                <w:sz w:val="20"/>
                <w:szCs w:val="20"/>
              </w:rPr>
              <w:t xml:space="preserve">RPS </w:t>
            </w:r>
            <w:r w:rsidR="002D1AA4" w:rsidRPr="00623BE9">
              <w:rPr>
                <w:rFonts w:ascii="Verdana" w:hAnsi="Verdana" w:cs="Arial"/>
                <w:sz w:val="20"/>
                <w:szCs w:val="20"/>
              </w:rPr>
              <w:t>contends that the appraisal under this objective is not soundly-based (not justified) and should be scored ‘uncertain</w:t>
            </w:r>
            <w:r w:rsidRPr="00623BE9">
              <w:rPr>
                <w:rFonts w:ascii="Verdana" w:hAnsi="Verdana" w:cs="Arial"/>
                <w:sz w:val="20"/>
                <w:szCs w:val="20"/>
              </w:rPr>
              <w:t xml:space="preserve">’ under this objective. </w:t>
            </w:r>
          </w:p>
          <w:p w14:paraId="67DA9C8A" w14:textId="48B43E50" w:rsidR="002D1AA4" w:rsidRPr="00623BE9" w:rsidRDefault="002D1AA4" w:rsidP="00623BE9">
            <w:pPr>
              <w:spacing w:line="276" w:lineRule="auto"/>
              <w:jc w:val="both"/>
              <w:rPr>
                <w:rFonts w:ascii="Verdana" w:hAnsi="Verdana" w:cs="Arial"/>
                <w:sz w:val="20"/>
                <w:szCs w:val="20"/>
              </w:rPr>
            </w:pPr>
          </w:p>
          <w:p w14:paraId="5E0A988A" w14:textId="77777777" w:rsidR="00756244" w:rsidRPr="00623BE9" w:rsidRDefault="00756244" w:rsidP="00623BE9">
            <w:pPr>
              <w:spacing w:line="276" w:lineRule="auto"/>
              <w:jc w:val="both"/>
              <w:rPr>
                <w:rFonts w:ascii="Verdana" w:hAnsi="Verdana" w:cs="Arial"/>
                <w:i/>
                <w:iCs/>
                <w:sz w:val="20"/>
                <w:szCs w:val="20"/>
                <w:u w:val="single"/>
              </w:rPr>
            </w:pPr>
            <w:bookmarkStart w:id="3" w:name="_Hlk88738481"/>
            <w:r w:rsidRPr="00623BE9">
              <w:rPr>
                <w:rFonts w:ascii="Verdana" w:hAnsi="Verdana" w:cs="Arial"/>
                <w:i/>
                <w:iCs/>
                <w:sz w:val="20"/>
                <w:szCs w:val="20"/>
                <w:u w:val="single"/>
              </w:rPr>
              <w:t xml:space="preserve">SA Objective 10 – Transport and Accessibility </w:t>
            </w:r>
          </w:p>
          <w:p w14:paraId="578AC24B" w14:textId="77777777" w:rsidR="00756244" w:rsidRPr="00623BE9" w:rsidRDefault="00756244" w:rsidP="00623BE9">
            <w:pPr>
              <w:tabs>
                <w:tab w:val="num" w:pos="907"/>
              </w:tabs>
              <w:spacing w:line="276" w:lineRule="auto"/>
              <w:jc w:val="both"/>
              <w:rPr>
                <w:rFonts w:ascii="Verdana" w:hAnsi="Verdana" w:cs="Arial"/>
                <w:sz w:val="20"/>
                <w:szCs w:val="20"/>
              </w:rPr>
            </w:pPr>
            <w:bookmarkStart w:id="4" w:name="_Hlk88742432"/>
            <w:bookmarkEnd w:id="3"/>
            <w:r w:rsidRPr="00623BE9">
              <w:rPr>
                <w:rFonts w:ascii="Verdana" w:hAnsi="Verdana" w:cs="Arial"/>
                <w:sz w:val="20"/>
                <w:szCs w:val="20"/>
              </w:rPr>
              <w:t>The Council has determined that site 170 would have a ‘minor negative’ effect in relation to this SA objective. This is for the following reasons, notably:</w:t>
            </w:r>
          </w:p>
          <w:p w14:paraId="014CA120" w14:textId="77777777" w:rsidR="00756244" w:rsidRPr="00623BE9" w:rsidRDefault="00756244" w:rsidP="00623BE9">
            <w:pPr>
              <w:numPr>
                <w:ilvl w:val="0"/>
                <w:numId w:val="1"/>
              </w:numPr>
              <w:spacing w:line="276" w:lineRule="auto"/>
              <w:ind w:left="593"/>
              <w:jc w:val="both"/>
              <w:rPr>
                <w:rFonts w:ascii="Verdana" w:hAnsi="Verdana" w:cs="Arial"/>
                <w:sz w:val="20"/>
                <w:szCs w:val="20"/>
              </w:rPr>
            </w:pPr>
            <w:r w:rsidRPr="00623BE9">
              <w:rPr>
                <w:rFonts w:ascii="Verdana" w:hAnsi="Verdana" w:cs="Arial"/>
                <w:sz w:val="20"/>
                <w:szCs w:val="20"/>
              </w:rPr>
              <w:t>Bus stops - site 170 is partially or wholly located outside the target distance of 400m.</w:t>
            </w:r>
          </w:p>
          <w:p w14:paraId="73CDEEFC" w14:textId="77777777" w:rsidR="00756244" w:rsidRPr="00623BE9" w:rsidRDefault="00756244" w:rsidP="00623BE9">
            <w:pPr>
              <w:numPr>
                <w:ilvl w:val="0"/>
                <w:numId w:val="1"/>
              </w:numPr>
              <w:spacing w:line="276" w:lineRule="auto"/>
              <w:ind w:left="593"/>
              <w:jc w:val="both"/>
              <w:rPr>
                <w:rFonts w:ascii="Verdana" w:hAnsi="Verdana" w:cs="Arial"/>
                <w:sz w:val="20"/>
                <w:szCs w:val="20"/>
              </w:rPr>
            </w:pPr>
            <w:r w:rsidRPr="00623BE9">
              <w:rPr>
                <w:rFonts w:ascii="Verdana" w:hAnsi="Verdana" w:cs="Arial"/>
                <w:sz w:val="20"/>
                <w:szCs w:val="20"/>
              </w:rPr>
              <w:t>Railways stations - site 170 is partially or wholly located outside the target distance of 2km.</w:t>
            </w:r>
          </w:p>
          <w:p w14:paraId="3E5639C0" w14:textId="77777777" w:rsidR="00756244" w:rsidRPr="00623BE9" w:rsidRDefault="00756244" w:rsidP="00623BE9">
            <w:pPr>
              <w:numPr>
                <w:ilvl w:val="0"/>
                <w:numId w:val="1"/>
              </w:numPr>
              <w:spacing w:line="276" w:lineRule="auto"/>
              <w:ind w:left="593"/>
              <w:jc w:val="both"/>
              <w:rPr>
                <w:rFonts w:ascii="Verdana" w:hAnsi="Verdana" w:cs="Arial"/>
                <w:sz w:val="20"/>
                <w:szCs w:val="20"/>
              </w:rPr>
            </w:pPr>
            <w:r w:rsidRPr="00623BE9">
              <w:rPr>
                <w:rFonts w:ascii="Verdana" w:hAnsi="Verdana" w:cs="Arial"/>
                <w:sz w:val="20"/>
                <w:szCs w:val="20"/>
              </w:rPr>
              <w:t>Local Services (convenience stores) – site 170 is located outside the target distance of 2km.</w:t>
            </w:r>
          </w:p>
          <w:p w14:paraId="6FFC087F" w14:textId="77777777" w:rsidR="00756244" w:rsidRPr="00623BE9" w:rsidRDefault="00756244" w:rsidP="00623BE9">
            <w:pPr>
              <w:tabs>
                <w:tab w:val="num" w:pos="907"/>
              </w:tabs>
              <w:spacing w:line="276" w:lineRule="auto"/>
              <w:jc w:val="both"/>
              <w:rPr>
                <w:rFonts w:ascii="Verdana" w:hAnsi="Verdana" w:cs="Arial"/>
                <w:sz w:val="20"/>
                <w:szCs w:val="20"/>
              </w:rPr>
            </w:pPr>
          </w:p>
          <w:p w14:paraId="48283094" w14:textId="218B93DC" w:rsidR="00756244" w:rsidRPr="00623BE9" w:rsidRDefault="00756244"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RPS disputes the assertion that the site would have a minor negative impact with respect to </w:t>
            </w:r>
            <w:bookmarkEnd w:id="4"/>
            <w:r w:rsidRPr="00623BE9">
              <w:rPr>
                <w:rFonts w:ascii="Verdana" w:hAnsi="Verdana" w:cs="Arial"/>
                <w:sz w:val="20"/>
                <w:szCs w:val="20"/>
              </w:rPr>
              <w:t>access to bus stops and local services. With regards to bus stops, the Council applies a threshold of 400m or less as the basis for measuring the impact on end users’ access to bus services. However, RPS contends that the use of a 400m threshold is unduly restrictive, given the rural nature of South Staffordshire, does not accord or recognise other national standards on accessibility, and also is inconsistent with other parts of the evidence with also considers access to services. This is explained below.</w:t>
            </w:r>
          </w:p>
          <w:p w14:paraId="518FAE8D" w14:textId="77777777" w:rsidR="00756244" w:rsidRPr="00623BE9" w:rsidRDefault="00756244" w:rsidP="00623BE9">
            <w:pPr>
              <w:tabs>
                <w:tab w:val="num" w:pos="907"/>
              </w:tabs>
              <w:spacing w:line="276" w:lineRule="auto"/>
              <w:jc w:val="both"/>
              <w:rPr>
                <w:rFonts w:ascii="Verdana" w:hAnsi="Verdana" w:cs="Arial"/>
                <w:sz w:val="20"/>
                <w:szCs w:val="20"/>
              </w:rPr>
            </w:pPr>
          </w:p>
          <w:p w14:paraId="48DC7967" w14:textId="77777777" w:rsidR="00756244" w:rsidRPr="00623BE9" w:rsidRDefault="00756244"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The latest available national guidance on what is an appropriate walking distance (or time period) to local services, including bus services, is set out in Manual for Streets (MfS), published by CLG/Department of Transport in 2007. Whilst slightly dated, it remains the most up to date official position regarding accessibility standards for plan-making purposes. Section 4.4 of MfS provides guidance on what is termed ‘walkable neighbourhoods’. MfS defines these as,</w:t>
            </w:r>
          </w:p>
          <w:p w14:paraId="4D2A43E0" w14:textId="1028364F" w:rsidR="00756244" w:rsidRPr="00623BE9" w:rsidRDefault="00756244" w:rsidP="00623BE9">
            <w:pPr>
              <w:spacing w:line="276" w:lineRule="auto"/>
              <w:ind w:left="310"/>
              <w:jc w:val="both"/>
              <w:rPr>
                <w:rFonts w:ascii="Verdana" w:hAnsi="Verdana" w:cs="Arial"/>
                <w:sz w:val="20"/>
                <w:szCs w:val="20"/>
              </w:rPr>
            </w:pPr>
            <w:r w:rsidRPr="00623BE9">
              <w:rPr>
                <w:rFonts w:ascii="Verdana" w:hAnsi="Verdana" w:cs="Arial"/>
                <w:sz w:val="20"/>
                <w:szCs w:val="20"/>
              </w:rPr>
              <w:t>“…</w:t>
            </w:r>
            <w:r w:rsidRPr="00623BE9">
              <w:rPr>
                <w:rFonts w:ascii="Verdana" w:hAnsi="Verdana" w:cs="Arial"/>
                <w:i/>
                <w:iCs/>
                <w:sz w:val="20"/>
                <w:szCs w:val="20"/>
              </w:rPr>
              <w:t>typically characterised by having a range of facilities within 10 minutes’ (up to about 800 m) walking distance of residential areas which residents may access comfortably on foot</w:t>
            </w:r>
            <w:r w:rsidRPr="00623BE9">
              <w:rPr>
                <w:rFonts w:ascii="Verdana" w:hAnsi="Verdana" w:cs="Arial"/>
                <w:sz w:val="20"/>
                <w:szCs w:val="20"/>
              </w:rPr>
              <w:t>…”</w:t>
            </w:r>
          </w:p>
          <w:p w14:paraId="71B83B6E" w14:textId="77777777" w:rsidR="00756244" w:rsidRPr="00623BE9" w:rsidRDefault="00756244" w:rsidP="00623BE9">
            <w:pPr>
              <w:spacing w:line="276" w:lineRule="auto"/>
              <w:jc w:val="both"/>
              <w:rPr>
                <w:rFonts w:ascii="Verdana" w:hAnsi="Verdana" w:cs="Arial"/>
                <w:sz w:val="20"/>
                <w:szCs w:val="20"/>
              </w:rPr>
            </w:pPr>
          </w:p>
          <w:p w14:paraId="697AD1F2" w14:textId="43CCD6C8" w:rsidR="00756244" w:rsidRPr="00623BE9" w:rsidRDefault="00756244"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The vision document (Appendix A, page 36) submitted alongside these representations highlights the presence of bus services operating in close proximity to the site. These services include bus stops located on the A460 to the east of the site, with other bus stops located on Brookhouse Lane, and also on Turnberry Drive both located to the north within the built-up area of Featherstone. All these services are located within 800 metres from the centre of the site when accessing the stops from the local footpath network. </w:t>
            </w:r>
          </w:p>
          <w:p w14:paraId="24589F2F" w14:textId="77777777" w:rsidR="00756244" w:rsidRPr="00623BE9" w:rsidRDefault="00756244" w:rsidP="00623BE9">
            <w:pPr>
              <w:tabs>
                <w:tab w:val="num" w:pos="907"/>
              </w:tabs>
              <w:spacing w:line="276" w:lineRule="auto"/>
              <w:jc w:val="both"/>
              <w:rPr>
                <w:rFonts w:ascii="Verdana" w:hAnsi="Verdana" w:cs="Arial"/>
                <w:sz w:val="20"/>
                <w:szCs w:val="20"/>
              </w:rPr>
            </w:pPr>
          </w:p>
          <w:p w14:paraId="27D52E7F" w14:textId="533561DB" w:rsidR="00756244" w:rsidRPr="00623BE9" w:rsidRDefault="00756244"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Given these services are available within 800 metres from the site, RPS contends that the Site does promote walkable neighbourhoods for local residents, in line with national guidance, and thus promotes sustainable development in accordance with national policy. However, when applying the Council’s SA methodology, this would not be the case.  </w:t>
            </w:r>
          </w:p>
          <w:p w14:paraId="79B5D628" w14:textId="77777777" w:rsidR="00756244" w:rsidRPr="00623BE9" w:rsidRDefault="00756244" w:rsidP="00623BE9">
            <w:pPr>
              <w:tabs>
                <w:tab w:val="num" w:pos="907"/>
              </w:tabs>
              <w:spacing w:line="276" w:lineRule="auto"/>
              <w:jc w:val="both"/>
              <w:rPr>
                <w:rFonts w:ascii="Verdana" w:hAnsi="Verdana" w:cs="Arial"/>
                <w:sz w:val="20"/>
                <w:szCs w:val="20"/>
              </w:rPr>
            </w:pPr>
          </w:p>
          <w:p w14:paraId="38658219" w14:textId="4FE5ADE6" w:rsidR="00756244" w:rsidRPr="00623BE9" w:rsidRDefault="00756244"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Furthermore, the use of a 400m threshold differs from those used by the Council as part of its rural services audit. Specifically, the Rural Services and Facilities Audit (RSFA), which applies a proximity ‘range’ of between 800 to 2,000m (see paragraph 3.17 of that report). In applying this range, the RSFA makes reference to Manual for Streets (under footnote 4) which the audit considers to be ‘…</w:t>
            </w:r>
            <w:r w:rsidRPr="00623BE9">
              <w:rPr>
                <w:rFonts w:ascii="Verdana" w:hAnsi="Verdana" w:cs="Arial"/>
                <w:i/>
                <w:iCs/>
                <w:sz w:val="20"/>
                <w:szCs w:val="20"/>
              </w:rPr>
              <w:t>an acceptable walking distance to services and facilities</w:t>
            </w:r>
            <w:r w:rsidRPr="00623BE9">
              <w:rPr>
                <w:rFonts w:ascii="Verdana" w:hAnsi="Verdana" w:cs="Arial"/>
                <w:sz w:val="20"/>
                <w:szCs w:val="20"/>
              </w:rPr>
              <w:t>…’.  The use of the 400m threshold is clearly at odds with the Council’s own evidence on accessibility standards. The SA provides no justification for the use of such a punitive indicator that is half the distance of the standards defined at a national level.</w:t>
            </w:r>
          </w:p>
          <w:p w14:paraId="394D23A7" w14:textId="77777777" w:rsidR="00756244" w:rsidRPr="00623BE9" w:rsidRDefault="00756244" w:rsidP="00623BE9">
            <w:pPr>
              <w:tabs>
                <w:tab w:val="num" w:pos="907"/>
              </w:tabs>
              <w:spacing w:line="276" w:lineRule="auto"/>
              <w:jc w:val="both"/>
              <w:rPr>
                <w:rFonts w:ascii="Verdana" w:hAnsi="Verdana" w:cs="Arial"/>
                <w:sz w:val="20"/>
                <w:szCs w:val="20"/>
              </w:rPr>
            </w:pPr>
          </w:p>
          <w:p w14:paraId="21512D04" w14:textId="32E5C451" w:rsidR="00756244" w:rsidRPr="00623BE9" w:rsidRDefault="00756244"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For the reasons given above, RPS contends that the SA methodology for this objective is not robust and does not allow sufficient flexibility for those sites that accord with nationally defined access standards, such as those set out in Manual for Streets. RPS contends the SA methodology for this objective is not fit for purpose as a reasonable measure of significant effects. Consequently, when applying the national standards and those used elsewhere in the Council’s evidence base, as a measure of access to local services, site 170 would clearly score ‘minor positive’.     </w:t>
            </w:r>
          </w:p>
          <w:p w14:paraId="1C01AA17" w14:textId="5F5D8200" w:rsidR="00756244" w:rsidRPr="00623BE9" w:rsidRDefault="00756244"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  </w:t>
            </w:r>
          </w:p>
          <w:p w14:paraId="6835500D" w14:textId="41F7F36A" w:rsidR="00756244" w:rsidRPr="00623BE9" w:rsidRDefault="00756244"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RPS also disputes the Council’s suggestion that site 170 is located beyond 2km of a convenience store, and thus would score ‘minor negative’. This finding again ignores the findings of the RSFA, which identified three convenience stores, all within Featherstone village centre (see Appendix 4, page 5). On this basis, the SA score is incorrect. Again, when appraised properly, the site would score ‘minor positive’ in relation to this aspect of the objective. </w:t>
            </w:r>
          </w:p>
          <w:p w14:paraId="7ACBDC23" w14:textId="77777777" w:rsidR="00756244" w:rsidRPr="00623BE9" w:rsidRDefault="00756244" w:rsidP="00623BE9">
            <w:pPr>
              <w:tabs>
                <w:tab w:val="num" w:pos="907"/>
              </w:tabs>
              <w:spacing w:line="276" w:lineRule="auto"/>
              <w:jc w:val="both"/>
              <w:rPr>
                <w:rFonts w:ascii="Verdana" w:hAnsi="Verdana" w:cs="Arial"/>
                <w:sz w:val="20"/>
                <w:szCs w:val="20"/>
              </w:rPr>
            </w:pPr>
          </w:p>
          <w:p w14:paraId="45C75748" w14:textId="271D2DBC" w:rsidR="002D1AA4" w:rsidRPr="00623BE9" w:rsidRDefault="00756244" w:rsidP="00623BE9">
            <w:pPr>
              <w:spacing w:line="276" w:lineRule="auto"/>
              <w:jc w:val="both"/>
              <w:rPr>
                <w:rFonts w:ascii="Verdana" w:hAnsi="Verdana" w:cs="Arial"/>
                <w:sz w:val="20"/>
                <w:szCs w:val="20"/>
              </w:rPr>
            </w:pPr>
            <w:r w:rsidRPr="00623BE9">
              <w:rPr>
                <w:rFonts w:ascii="Verdana" w:hAnsi="Verdana" w:cs="Arial"/>
                <w:sz w:val="20"/>
                <w:szCs w:val="20"/>
              </w:rPr>
              <w:t xml:space="preserve">In summary, when the appraisal of significant effects is revisited and adjustments made in light of the issues and concerns raised above, the only minor negative score under this objective would relate to access to a railway station (though this is likely to equally affect all sites identified at Featherstone). On this basis, RPS contends that site 170 would, in overall terms, have a ‘minor positive’ impact on access to transport and accessibility. The score for site 170 is therefore wrong, and should be adjusted accordingly. Consequently, RPS contends the Council’s appraisal of the Site under this objective is not soundly-based (not justified). </w:t>
            </w:r>
          </w:p>
          <w:p w14:paraId="107C89F1" w14:textId="77777777" w:rsidR="00327259" w:rsidRPr="00623BE9" w:rsidRDefault="00327259" w:rsidP="00623BE9">
            <w:pPr>
              <w:spacing w:line="276" w:lineRule="auto"/>
              <w:jc w:val="both"/>
              <w:rPr>
                <w:rFonts w:ascii="Verdana" w:hAnsi="Verdana" w:cs="Arial"/>
                <w:sz w:val="20"/>
                <w:szCs w:val="20"/>
              </w:rPr>
            </w:pPr>
          </w:p>
          <w:p w14:paraId="10C6010A" w14:textId="77777777" w:rsidR="00756244" w:rsidRPr="00623BE9" w:rsidRDefault="00756244" w:rsidP="00623BE9">
            <w:pPr>
              <w:spacing w:line="276" w:lineRule="auto"/>
              <w:jc w:val="both"/>
              <w:rPr>
                <w:rFonts w:ascii="Verdana" w:hAnsi="Verdana" w:cs="Arial"/>
                <w:b/>
                <w:bCs/>
                <w:i/>
                <w:iCs/>
                <w:sz w:val="20"/>
                <w:szCs w:val="20"/>
              </w:rPr>
            </w:pPr>
            <w:bookmarkStart w:id="5" w:name="_Hlk88743736"/>
            <w:r w:rsidRPr="00623BE9">
              <w:rPr>
                <w:rFonts w:ascii="Verdana" w:hAnsi="Verdana" w:cs="Arial"/>
                <w:b/>
                <w:bCs/>
                <w:i/>
                <w:iCs/>
                <w:sz w:val="20"/>
                <w:szCs w:val="20"/>
              </w:rPr>
              <w:t>SA Objective 11 - Education</w:t>
            </w:r>
          </w:p>
          <w:p w14:paraId="17229714" w14:textId="77777777" w:rsidR="00756244" w:rsidRPr="00623BE9" w:rsidRDefault="00756244"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The Council has determined that site 170 would have a ‘minor negative’ effect in relation to this SA objective. This is for the following reasons, notably:</w:t>
            </w:r>
          </w:p>
          <w:p w14:paraId="250AA7D2" w14:textId="102DBCE5" w:rsidR="00756244" w:rsidRPr="00623BE9" w:rsidRDefault="00756244" w:rsidP="00623BE9">
            <w:pPr>
              <w:numPr>
                <w:ilvl w:val="0"/>
                <w:numId w:val="2"/>
              </w:numPr>
              <w:spacing w:line="276" w:lineRule="auto"/>
              <w:ind w:left="593"/>
              <w:jc w:val="both"/>
              <w:rPr>
                <w:rFonts w:ascii="Verdana" w:hAnsi="Verdana" w:cs="Arial"/>
                <w:sz w:val="20"/>
                <w:szCs w:val="20"/>
              </w:rPr>
            </w:pPr>
            <w:r w:rsidRPr="00623BE9">
              <w:rPr>
                <w:rFonts w:ascii="Verdana" w:hAnsi="Verdana" w:cs="Arial"/>
                <w:sz w:val="20"/>
                <w:szCs w:val="20"/>
              </w:rPr>
              <w:t xml:space="preserve">Secondary schools – site 170 is located outside the target distance (1.5km) to the nearest secondary school. </w:t>
            </w:r>
          </w:p>
          <w:p w14:paraId="45B455E9" w14:textId="77777777" w:rsidR="00756244" w:rsidRPr="00623BE9" w:rsidRDefault="00756244" w:rsidP="00623BE9">
            <w:pPr>
              <w:spacing w:line="276" w:lineRule="auto"/>
              <w:ind w:left="1790"/>
              <w:jc w:val="both"/>
              <w:rPr>
                <w:rFonts w:ascii="Verdana" w:hAnsi="Verdana" w:cs="Arial"/>
                <w:sz w:val="20"/>
                <w:szCs w:val="20"/>
              </w:rPr>
            </w:pPr>
          </w:p>
          <w:p w14:paraId="0C886907" w14:textId="77777777" w:rsidR="00756244" w:rsidRPr="00623BE9" w:rsidRDefault="00756244" w:rsidP="00623BE9">
            <w:pPr>
              <w:tabs>
                <w:tab w:val="num" w:pos="907"/>
              </w:tabs>
              <w:spacing w:line="276" w:lineRule="auto"/>
              <w:jc w:val="both"/>
              <w:rPr>
                <w:rFonts w:ascii="Verdana" w:hAnsi="Verdana" w:cs="Arial"/>
                <w:sz w:val="20"/>
                <w:szCs w:val="20"/>
              </w:rPr>
            </w:pPr>
            <w:bookmarkStart w:id="6" w:name="_Hlk88743814"/>
            <w:bookmarkEnd w:id="5"/>
            <w:r w:rsidRPr="00623BE9">
              <w:rPr>
                <w:rFonts w:ascii="Verdana" w:hAnsi="Verdana" w:cs="Arial"/>
                <w:sz w:val="20"/>
                <w:szCs w:val="20"/>
              </w:rPr>
              <w:t>RPS disputes the basis for the criteria identified in the SA methodology, and thus disagrees with a ‘minor negative’ score applied to site 170 against this objective. The 1.5km threshold applied under this objective equates to a distance of less than one mile (0.9 miles). However, both national</w:t>
            </w:r>
            <w:r w:rsidRPr="00623BE9">
              <w:rPr>
                <w:rFonts w:ascii="Verdana" w:hAnsi="Verdana" w:cs="Arial"/>
                <w:sz w:val="20"/>
                <w:szCs w:val="20"/>
                <w:vertAlign w:val="superscript"/>
              </w:rPr>
              <w:footnoteReference w:id="2"/>
            </w:r>
            <w:r w:rsidRPr="00623BE9">
              <w:rPr>
                <w:rFonts w:ascii="Verdana" w:hAnsi="Verdana" w:cs="Arial"/>
                <w:sz w:val="20"/>
                <w:szCs w:val="20"/>
              </w:rPr>
              <w:t xml:space="preserve"> and local</w:t>
            </w:r>
            <w:r w:rsidRPr="00623BE9">
              <w:rPr>
                <w:rFonts w:ascii="Verdana" w:hAnsi="Verdana" w:cs="Arial"/>
                <w:sz w:val="20"/>
                <w:szCs w:val="20"/>
                <w:vertAlign w:val="superscript"/>
              </w:rPr>
              <w:footnoteReference w:id="3"/>
            </w:r>
            <w:r w:rsidRPr="00623BE9">
              <w:rPr>
                <w:rFonts w:ascii="Verdana" w:hAnsi="Verdana" w:cs="Arial"/>
                <w:sz w:val="20"/>
                <w:szCs w:val="20"/>
              </w:rPr>
              <w:t xml:space="preserve"> guidance applies a wider distance threshold in measuring appropriate distances between home and school locations. </w:t>
            </w:r>
          </w:p>
          <w:p w14:paraId="5EA171AD" w14:textId="77777777" w:rsidR="00756244" w:rsidRPr="00623BE9" w:rsidRDefault="00756244" w:rsidP="00623BE9">
            <w:pPr>
              <w:tabs>
                <w:tab w:val="num" w:pos="907"/>
              </w:tabs>
              <w:spacing w:line="276" w:lineRule="auto"/>
              <w:jc w:val="both"/>
              <w:rPr>
                <w:rFonts w:ascii="Verdana" w:hAnsi="Verdana" w:cs="Arial"/>
                <w:sz w:val="20"/>
                <w:szCs w:val="20"/>
              </w:rPr>
            </w:pPr>
          </w:p>
          <w:p w14:paraId="24D4D6B1" w14:textId="267DF04D" w:rsidR="00756244" w:rsidRPr="00623BE9" w:rsidRDefault="00756244"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These are based on the use of 3</w:t>
            </w:r>
            <w:r w:rsidR="00BD4DD4" w:rsidRPr="00623BE9">
              <w:rPr>
                <w:rFonts w:ascii="Verdana" w:hAnsi="Verdana" w:cs="Arial"/>
                <w:sz w:val="20"/>
                <w:szCs w:val="20"/>
              </w:rPr>
              <w:t>-</w:t>
            </w:r>
            <w:r w:rsidRPr="00623BE9">
              <w:rPr>
                <w:rFonts w:ascii="Verdana" w:hAnsi="Verdana" w:cs="Arial"/>
                <w:sz w:val="20"/>
                <w:szCs w:val="20"/>
              </w:rPr>
              <w:t xml:space="preserve">mile distance for pupils aged 8 and above, which includes pupils who attend secondary school. </w:t>
            </w:r>
            <w:bookmarkEnd w:id="6"/>
            <w:r w:rsidRPr="00623BE9">
              <w:rPr>
                <w:rFonts w:ascii="Verdana" w:hAnsi="Verdana" w:cs="Arial"/>
                <w:sz w:val="20"/>
                <w:szCs w:val="20"/>
              </w:rPr>
              <w:t xml:space="preserve">Site 170 is located approximately 1.7 miles from Moreton School (using Google maps) and so falls within this threshold. On this basis, RPS considers the distance thresholds applied under this SA objective to be arbitrary in nature and are not based on any local assessment of what would constitute an appropriate distance between home and school for children living in South Staffordshire, and in particular those children living in Featherstone.      </w:t>
            </w:r>
          </w:p>
          <w:p w14:paraId="05F25710" w14:textId="77777777" w:rsidR="00756244" w:rsidRPr="00623BE9" w:rsidRDefault="00756244" w:rsidP="00623BE9">
            <w:pPr>
              <w:spacing w:line="276" w:lineRule="auto"/>
              <w:jc w:val="both"/>
              <w:rPr>
                <w:rFonts w:ascii="Verdana" w:hAnsi="Verdana" w:cs="Arial"/>
                <w:sz w:val="20"/>
                <w:szCs w:val="20"/>
              </w:rPr>
            </w:pPr>
            <w:r w:rsidRPr="00623BE9">
              <w:rPr>
                <w:rFonts w:ascii="Verdana" w:hAnsi="Verdana" w:cs="Arial"/>
                <w:sz w:val="20"/>
                <w:szCs w:val="20"/>
              </w:rPr>
              <w:t xml:space="preserve">RPS therefore contends that the minor negative score under this objective is not correct because the basis for it, as set out in the SA methodology, is wholly inconsistent with national advice on measuring accessibility and contradicts the approach taken to assessing access to services applied elsewhere by the Council. When applying the thresholds in national guidance, site 170  achieves a ‘minor positive’ score. </w:t>
            </w:r>
          </w:p>
          <w:p w14:paraId="2A166037" w14:textId="77777777" w:rsidR="00756244" w:rsidRPr="00623BE9" w:rsidRDefault="00756244" w:rsidP="00623BE9">
            <w:pPr>
              <w:spacing w:line="276" w:lineRule="auto"/>
              <w:jc w:val="both"/>
              <w:rPr>
                <w:rFonts w:ascii="Verdana" w:hAnsi="Verdana" w:cs="Arial"/>
                <w:sz w:val="20"/>
                <w:szCs w:val="20"/>
              </w:rPr>
            </w:pPr>
          </w:p>
          <w:p w14:paraId="5FAF35B7" w14:textId="77777777" w:rsidR="00BD4DD4" w:rsidRPr="00623BE9" w:rsidRDefault="00756244" w:rsidP="00623BE9">
            <w:pPr>
              <w:spacing w:line="276" w:lineRule="auto"/>
              <w:jc w:val="both"/>
              <w:rPr>
                <w:rFonts w:ascii="Verdana" w:hAnsi="Verdana" w:cs="Arial"/>
                <w:sz w:val="20"/>
                <w:szCs w:val="20"/>
              </w:rPr>
            </w:pPr>
            <w:r w:rsidRPr="00623BE9">
              <w:rPr>
                <w:rFonts w:ascii="Verdana" w:hAnsi="Verdana" w:cs="Arial"/>
                <w:sz w:val="20"/>
                <w:szCs w:val="20"/>
              </w:rPr>
              <w:t xml:space="preserve">On that basis, </w:t>
            </w:r>
            <w:r w:rsidR="00BD4DD4" w:rsidRPr="00623BE9">
              <w:rPr>
                <w:rFonts w:ascii="Verdana" w:hAnsi="Verdana" w:cs="Arial"/>
                <w:sz w:val="20"/>
                <w:szCs w:val="20"/>
              </w:rPr>
              <w:t>RPS contend the appraisal under this objective is not soundly-based (not justified) or consistent with other recognised guidance on distance to education applied national and locally across the county. Consequently, t</w:t>
            </w:r>
            <w:r w:rsidRPr="00623BE9">
              <w:rPr>
                <w:rFonts w:ascii="Verdana" w:hAnsi="Verdana" w:cs="Arial"/>
                <w:sz w:val="20"/>
                <w:szCs w:val="20"/>
              </w:rPr>
              <w:t xml:space="preserve">he score for </w:t>
            </w:r>
            <w:r w:rsidR="00BD4DD4" w:rsidRPr="00623BE9">
              <w:rPr>
                <w:rFonts w:ascii="Verdana" w:hAnsi="Verdana" w:cs="Arial"/>
                <w:sz w:val="20"/>
                <w:szCs w:val="20"/>
              </w:rPr>
              <w:t>S</w:t>
            </w:r>
            <w:r w:rsidRPr="00623BE9">
              <w:rPr>
                <w:rFonts w:ascii="Verdana" w:hAnsi="Verdana" w:cs="Arial"/>
                <w:sz w:val="20"/>
                <w:szCs w:val="20"/>
              </w:rPr>
              <w:t>ite 170 under this objective should be adjusted to ‘minor positive’.</w:t>
            </w:r>
          </w:p>
          <w:p w14:paraId="795180A3" w14:textId="77777777" w:rsidR="00BD4DD4" w:rsidRPr="00623BE9" w:rsidRDefault="00BD4DD4" w:rsidP="00623BE9">
            <w:pPr>
              <w:spacing w:line="276" w:lineRule="auto"/>
              <w:jc w:val="both"/>
              <w:rPr>
                <w:rFonts w:ascii="Verdana" w:hAnsi="Verdana" w:cs="Arial"/>
                <w:sz w:val="20"/>
                <w:szCs w:val="20"/>
              </w:rPr>
            </w:pPr>
          </w:p>
          <w:p w14:paraId="06B93B92" w14:textId="748EBBED" w:rsidR="00751967" w:rsidRPr="00623BE9" w:rsidRDefault="00751967" w:rsidP="00623BE9">
            <w:pPr>
              <w:spacing w:line="276" w:lineRule="auto"/>
              <w:jc w:val="both"/>
              <w:rPr>
                <w:rFonts w:ascii="Verdana" w:hAnsi="Verdana" w:cs="Arial"/>
                <w:i/>
                <w:iCs/>
                <w:sz w:val="20"/>
                <w:szCs w:val="20"/>
                <w:u w:val="single"/>
              </w:rPr>
            </w:pPr>
            <w:bookmarkStart w:id="7" w:name="_Hlk88744377"/>
            <w:r w:rsidRPr="00623BE9">
              <w:rPr>
                <w:rFonts w:ascii="Verdana" w:hAnsi="Verdana" w:cs="Arial"/>
                <w:i/>
                <w:iCs/>
                <w:sz w:val="20"/>
                <w:szCs w:val="20"/>
                <w:u w:val="single"/>
              </w:rPr>
              <w:t>SA Objective 12 – Economy</w:t>
            </w:r>
          </w:p>
          <w:p w14:paraId="0B2F1221" w14:textId="77777777" w:rsidR="00751967" w:rsidRPr="00623BE9" w:rsidRDefault="00751967"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The Council has determined that site 170 would have a ‘minor negative’ effect in relation to this SA objective. This is for the following reasons, notably:</w:t>
            </w:r>
          </w:p>
          <w:p w14:paraId="27D73769" w14:textId="77777777" w:rsidR="00751967" w:rsidRPr="00623BE9" w:rsidRDefault="00751967" w:rsidP="00623BE9">
            <w:pPr>
              <w:numPr>
                <w:ilvl w:val="0"/>
                <w:numId w:val="2"/>
              </w:numPr>
              <w:spacing w:line="276" w:lineRule="auto"/>
              <w:ind w:left="593"/>
              <w:jc w:val="both"/>
              <w:rPr>
                <w:rFonts w:ascii="Verdana" w:hAnsi="Verdana" w:cs="Arial"/>
                <w:sz w:val="20"/>
                <w:szCs w:val="20"/>
              </w:rPr>
            </w:pPr>
            <w:r w:rsidRPr="00623BE9">
              <w:rPr>
                <w:rFonts w:ascii="Verdana" w:hAnsi="Verdana" w:cs="Arial"/>
                <w:sz w:val="20"/>
                <w:szCs w:val="20"/>
              </w:rPr>
              <w:t>Site 170 is located in an area with ‘unreasonable’ sustainable access to employment opportunities (see paragraph B.12.12.1 of the SAPOP)</w:t>
            </w:r>
          </w:p>
          <w:bookmarkEnd w:id="7"/>
          <w:p w14:paraId="7CC6FF4D" w14:textId="77777777" w:rsidR="00751967" w:rsidRPr="00623BE9" w:rsidRDefault="00751967" w:rsidP="00623BE9">
            <w:pPr>
              <w:tabs>
                <w:tab w:val="num" w:pos="907"/>
              </w:tabs>
              <w:spacing w:line="276" w:lineRule="auto"/>
              <w:jc w:val="both"/>
              <w:rPr>
                <w:rFonts w:ascii="Verdana" w:hAnsi="Verdana" w:cs="Arial"/>
                <w:sz w:val="20"/>
                <w:szCs w:val="20"/>
              </w:rPr>
            </w:pPr>
          </w:p>
          <w:p w14:paraId="06756C33" w14:textId="793D2F92" w:rsidR="00751967" w:rsidRPr="00623BE9" w:rsidRDefault="00751967"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RPS disputes this score. The SA methodology (see Box 3.12) defines ‘minor negative’ as follows:</w:t>
            </w:r>
          </w:p>
          <w:p w14:paraId="3B56E4F5" w14:textId="77777777" w:rsidR="00751967" w:rsidRPr="00623BE9" w:rsidRDefault="00751967" w:rsidP="00623BE9">
            <w:pPr>
              <w:tabs>
                <w:tab w:val="num" w:pos="907"/>
              </w:tabs>
              <w:spacing w:line="276" w:lineRule="auto"/>
              <w:jc w:val="both"/>
              <w:rPr>
                <w:rFonts w:ascii="Verdana" w:hAnsi="Verdana" w:cs="Arial"/>
                <w:sz w:val="20"/>
                <w:szCs w:val="20"/>
              </w:rPr>
            </w:pPr>
          </w:p>
          <w:p w14:paraId="61C484B7" w14:textId="0F9A5AA8" w:rsidR="00751967" w:rsidRPr="00623BE9" w:rsidRDefault="00751967" w:rsidP="00623BE9">
            <w:pPr>
              <w:spacing w:line="276" w:lineRule="auto"/>
              <w:ind w:left="168"/>
              <w:jc w:val="both"/>
              <w:rPr>
                <w:rFonts w:ascii="Verdana" w:hAnsi="Verdana" w:cs="Arial"/>
                <w:sz w:val="20"/>
                <w:szCs w:val="20"/>
              </w:rPr>
            </w:pPr>
            <w:r w:rsidRPr="00623BE9">
              <w:rPr>
                <w:rFonts w:ascii="Verdana" w:hAnsi="Verdana" w:cs="Arial"/>
                <w:sz w:val="20"/>
                <w:szCs w:val="20"/>
              </w:rPr>
              <w:t>“</w:t>
            </w:r>
            <w:r w:rsidRPr="00623BE9">
              <w:rPr>
                <w:rFonts w:ascii="Verdana" w:hAnsi="Verdana" w:cs="Arial"/>
                <w:i/>
                <w:iCs/>
                <w:sz w:val="20"/>
                <w:szCs w:val="20"/>
              </w:rPr>
              <w:t>Residential-led development proposals that would place site end users in locations with unreasonable or poor access to employment opportunities (</w:t>
            </w:r>
            <w:r w:rsidRPr="00623BE9">
              <w:rPr>
                <w:rFonts w:ascii="Verdana" w:hAnsi="Verdana" w:cs="Arial"/>
                <w:i/>
                <w:iCs/>
                <w:sz w:val="20"/>
                <w:szCs w:val="20"/>
                <w:u w:val="single"/>
              </w:rPr>
              <w:t>the lower half Hansen scores</w:t>
            </w:r>
            <w:r w:rsidRPr="00623BE9">
              <w:rPr>
                <w:rFonts w:ascii="Verdana" w:hAnsi="Verdana" w:cs="Arial"/>
                <w:i/>
                <w:iCs/>
                <w:sz w:val="20"/>
                <w:szCs w:val="20"/>
              </w:rPr>
              <w:t xml:space="preserve">, or </w:t>
            </w:r>
            <w:r w:rsidRPr="00623BE9">
              <w:rPr>
                <w:rFonts w:ascii="Verdana" w:hAnsi="Verdana" w:cs="Arial"/>
                <w:i/>
                <w:iCs/>
                <w:sz w:val="20"/>
                <w:szCs w:val="20"/>
                <w:u w:val="single"/>
              </w:rPr>
              <w:t>adjacent to a village/urban area with Hansen score coverage to some extent</w:t>
            </w:r>
            <w:r w:rsidRPr="00623BE9">
              <w:rPr>
                <w:rFonts w:ascii="Verdana" w:hAnsi="Verdana" w:cs="Arial"/>
                <w:i/>
                <w:iCs/>
                <w:sz w:val="20"/>
                <w:szCs w:val="20"/>
              </w:rPr>
              <w:t>) would have a minor negative impact on access to employment opportunities</w:t>
            </w:r>
            <w:r w:rsidRPr="00623BE9">
              <w:rPr>
                <w:rFonts w:ascii="Verdana" w:hAnsi="Verdana" w:cs="Arial"/>
                <w:sz w:val="20"/>
                <w:szCs w:val="20"/>
              </w:rPr>
              <w:t>.” (RPS emphasis)</w:t>
            </w:r>
          </w:p>
          <w:p w14:paraId="2F9495BB" w14:textId="77777777" w:rsidR="00751967" w:rsidRPr="00623BE9" w:rsidRDefault="00751967" w:rsidP="00623BE9">
            <w:pPr>
              <w:spacing w:line="276" w:lineRule="auto"/>
              <w:jc w:val="both"/>
              <w:rPr>
                <w:rFonts w:ascii="Verdana" w:hAnsi="Verdana" w:cs="Arial"/>
                <w:sz w:val="20"/>
                <w:szCs w:val="20"/>
              </w:rPr>
            </w:pPr>
          </w:p>
          <w:p w14:paraId="4B24566B" w14:textId="7240F156" w:rsidR="00751967" w:rsidRPr="00623BE9" w:rsidRDefault="00751967"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And for ‘minor positive’ impacts, this is defined as,</w:t>
            </w:r>
          </w:p>
          <w:p w14:paraId="4077583E" w14:textId="77777777" w:rsidR="00751967" w:rsidRPr="00623BE9" w:rsidRDefault="00751967" w:rsidP="00623BE9">
            <w:pPr>
              <w:tabs>
                <w:tab w:val="num" w:pos="907"/>
              </w:tabs>
              <w:spacing w:line="276" w:lineRule="auto"/>
              <w:jc w:val="both"/>
              <w:rPr>
                <w:rFonts w:ascii="Verdana" w:hAnsi="Verdana" w:cs="Arial"/>
                <w:sz w:val="20"/>
                <w:szCs w:val="20"/>
              </w:rPr>
            </w:pPr>
          </w:p>
          <w:p w14:paraId="4C141CF7" w14:textId="3D8120DC" w:rsidR="00751967" w:rsidRPr="00623BE9" w:rsidRDefault="00751967" w:rsidP="00623BE9">
            <w:pPr>
              <w:spacing w:line="276" w:lineRule="auto"/>
              <w:ind w:left="168"/>
              <w:jc w:val="both"/>
              <w:rPr>
                <w:rFonts w:ascii="Verdana" w:hAnsi="Verdana" w:cs="Arial"/>
                <w:sz w:val="20"/>
                <w:szCs w:val="20"/>
              </w:rPr>
            </w:pPr>
            <w:r w:rsidRPr="00623BE9">
              <w:rPr>
                <w:rFonts w:ascii="Verdana" w:hAnsi="Verdana" w:cs="Arial"/>
                <w:sz w:val="20"/>
                <w:szCs w:val="20"/>
              </w:rPr>
              <w:t>“</w:t>
            </w:r>
            <w:r w:rsidRPr="00623BE9">
              <w:rPr>
                <w:rFonts w:ascii="Verdana" w:hAnsi="Verdana" w:cs="Arial"/>
                <w:i/>
                <w:iCs/>
                <w:sz w:val="20"/>
                <w:szCs w:val="20"/>
              </w:rPr>
              <w:t>Residential-led development proposals that would place site end users in locations with good or reasonable access to employment opportunities (</w:t>
            </w:r>
            <w:r w:rsidRPr="00623BE9">
              <w:rPr>
                <w:rFonts w:ascii="Verdana" w:hAnsi="Verdana" w:cs="Arial"/>
                <w:i/>
                <w:iCs/>
                <w:sz w:val="20"/>
                <w:szCs w:val="20"/>
                <w:u w:val="single"/>
              </w:rPr>
              <w:t>the upper half Hansen scores</w:t>
            </w:r>
            <w:r w:rsidRPr="00623BE9">
              <w:rPr>
                <w:rFonts w:ascii="Verdana" w:hAnsi="Verdana" w:cs="Arial"/>
                <w:i/>
                <w:iCs/>
                <w:sz w:val="20"/>
                <w:szCs w:val="20"/>
              </w:rPr>
              <w:t xml:space="preserve">) would have a minor positive impact on access to employment opportunities.” </w:t>
            </w:r>
            <w:r w:rsidRPr="00623BE9">
              <w:rPr>
                <w:rFonts w:ascii="Verdana" w:hAnsi="Verdana" w:cs="Arial"/>
                <w:sz w:val="20"/>
                <w:szCs w:val="20"/>
              </w:rPr>
              <w:t>(RPS emphasis)</w:t>
            </w:r>
          </w:p>
          <w:p w14:paraId="1DD665B3" w14:textId="77777777" w:rsidR="00751967" w:rsidRPr="00623BE9" w:rsidRDefault="00751967" w:rsidP="00623BE9">
            <w:pPr>
              <w:spacing w:line="276" w:lineRule="auto"/>
              <w:jc w:val="both"/>
              <w:rPr>
                <w:rFonts w:ascii="Verdana" w:hAnsi="Verdana" w:cs="Arial"/>
                <w:sz w:val="20"/>
                <w:szCs w:val="20"/>
              </w:rPr>
            </w:pPr>
          </w:p>
          <w:p w14:paraId="3AA7FE42" w14:textId="08324BF3" w:rsidR="00751967" w:rsidRPr="00623BE9" w:rsidRDefault="00751967"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In relation to the use of Hansen scores for the appraisal of sites against this objective, the SAPOP (see paragraph 3.12.3) states,</w:t>
            </w:r>
          </w:p>
          <w:p w14:paraId="0C98672C" w14:textId="77777777" w:rsidR="00751967" w:rsidRPr="00623BE9" w:rsidRDefault="00751967" w:rsidP="00623BE9">
            <w:pPr>
              <w:tabs>
                <w:tab w:val="num" w:pos="907"/>
              </w:tabs>
              <w:spacing w:line="276" w:lineRule="auto"/>
              <w:jc w:val="both"/>
              <w:rPr>
                <w:rFonts w:ascii="Verdana" w:hAnsi="Verdana" w:cs="Arial"/>
                <w:sz w:val="20"/>
                <w:szCs w:val="20"/>
              </w:rPr>
            </w:pPr>
          </w:p>
          <w:p w14:paraId="59D1EB3D" w14:textId="4DBAB7CF" w:rsidR="00751967" w:rsidRPr="00623BE9" w:rsidRDefault="00751967" w:rsidP="00623BE9">
            <w:pPr>
              <w:spacing w:line="276" w:lineRule="auto"/>
              <w:ind w:left="168"/>
              <w:jc w:val="both"/>
              <w:rPr>
                <w:rFonts w:ascii="Verdana" w:hAnsi="Verdana" w:cs="Arial"/>
                <w:sz w:val="20"/>
                <w:szCs w:val="20"/>
              </w:rPr>
            </w:pPr>
            <w:r w:rsidRPr="00623BE9">
              <w:rPr>
                <w:rFonts w:ascii="Verdana" w:hAnsi="Verdana" w:cs="Arial"/>
                <w:sz w:val="20"/>
                <w:szCs w:val="20"/>
              </w:rPr>
              <w:t>“</w:t>
            </w:r>
            <w:r w:rsidRPr="00623BE9">
              <w:rPr>
                <w:rFonts w:ascii="Verdana" w:hAnsi="Verdana" w:cs="Arial"/>
                <w:i/>
                <w:iCs/>
                <w:sz w:val="20"/>
                <w:szCs w:val="20"/>
              </w:rPr>
              <w:t>Hansen scores for public transport access to employment opportunities were used, which measured the number of destinations which could be accessed within 60 minutes journey time</w:t>
            </w:r>
            <w:r w:rsidRPr="00623BE9">
              <w:rPr>
                <w:rFonts w:ascii="Verdana" w:hAnsi="Verdana" w:cs="Arial"/>
                <w:sz w:val="20"/>
                <w:szCs w:val="20"/>
              </w:rPr>
              <w:t>.”</w:t>
            </w:r>
          </w:p>
          <w:p w14:paraId="0F2A5C37" w14:textId="77777777" w:rsidR="00751967" w:rsidRPr="00623BE9" w:rsidRDefault="00751967" w:rsidP="00623BE9">
            <w:pPr>
              <w:spacing w:line="276" w:lineRule="auto"/>
              <w:jc w:val="both"/>
              <w:rPr>
                <w:rFonts w:ascii="Verdana" w:hAnsi="Verdana" w:cs="Arial"/>
                <w:sz w:val="20"/>
                <w:szCs w:val="20"/>
              </w:rPr>
            </w:pPr>
          </w:p>
          <w:p w14:paraId="653A6504" w14:textId="49F95413" w:rsidR="00751967" w:rsidRPr="00623BE9" w:rsidRDefault="00751967"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The SAPOP provides very little supporting analysis to justify this score. Nonetheless, it is important to note that the Hansen scoring approach has been applied by the Council in the Rural Services and Facilities Audit (RSFA) of settlements. The RSFA defined Featherstone, and thus site 170, as having ‘</w:t>
            </w:r>
            <w:r w:rsidRPr="00623BE9">
              <w:rPr>
                <w:rFonts w:ascii="Verdana" w:hAnsi="Verdana" w:cs="Arial"/>
                <w:i/>
                <w:iCs/>
                <w:sz w:val="20"/>
                <w:szCs w:val="20"/>
              </w:rPr>
              <w:t>medium access to employment’</w:t>
            </w:r>
            <w:r w:rsidRPr="00623BE9">
              <w:rPr>
                <w:rFonts w:ascii="Verdana" w:hAnsi="Verdana" w:cs="Arial"/>
                <w:sz w:val="20"/>
                <w:szCs w:val="20"/>
              </w:rPr>
              <w:t xml:space="preserve"> (see Appendix 4 and 5 of the RSFA). Based on this finding, it is wholly wrong to suggest that Featherstone, and the site itself, has ‘unreasonable’ access to local employment opportunities.</w:t>
            </w:r>
          </w:p>
          <w:p w14:paraId="7D1B3504" w14:textId="77777777" w:rsidR="00751967" w:rsidRPr="00623BE9" w:rsidRDefault="00751967" w:rsidP="00623BE9">
            <w:pPr>
              <w:tabs>
                <w:tab w:val="num" w:pos="907"/>
              </w:tabs>
              <w:spacing w:line="276" w:lineRule="auto"/>
              <w:jc w:val="both"/>
              <w:rPr>
                <w:rFonts w:ascii="Verdana" w:hAnsi="Verdana" w:cs="Arial"/>
                <w:sz w:val="20"/>
                <w:szCs w:val="20"/>
              </w:rPr>
            </w:pPr>
          </w:p>
          <w:p w14:paraId="0C422CD6" w14:textId="17CDCBAC" w:rsidR="00751967" w:rsidRPr="00623BE9" w:rsidRDefault="00751967"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Given that locations with ‘good’ access to employment would fall within the ‘upper quartile Hansen score’ (see table on page 7 on the RSFA for the full list of scoring criteria), RPS assumes that those locations with medium access to employment would be deemed as falling within the ‘upper half’ of the Hansen score. This would seem reasonable given the number of local employers and employment centres within close proximity to Featherstone and to the site, as highlighted in Figure 5.2 of this submission. </w:t>
            </w:r>
          </w:p>
          <w:p w14:paraId="4D0B4AA5" w14:textId="77777777" w:rsidR="00751967" w:rsidRPr="00623BE9" w:rsidRDefault="00751967" w:rsidP="00623BE9">
            <w:pPr>
              <w:tabs>
                <w:tab w:val="num" w:pos="907"/>
              </w:tabs>
              <w:spacing w:line="276" w:lineRule="auto"/>
              <w:jc w:val="both"/>
              <w:rPr>
                <w:rFonts w:ascii="Verdana" w:hAnsi="Verdana" w:cs="Arial"/>
                <w:sz w:val="20"/>
                <w:szCs w:val="20"/>
              </w:rPr>
            </w:pPr>
          </w:p>
          <w:p w14:paraId="1355980D" w14:textId="08137455" w:rsidR="001C6CB4" w:rsidRPr="00623BE9" w:rsidRDefault="00751967" w:rsidP="00623BE9">
            <w:pPr>
              <w:spacing w:line="276" w:lineRule="auto"/>
              <w:jc w:val="both"/>
              <w:rPr>
                <w:rFonts w:ascii="Verdana" w:hAnsi="Verdana" w:cs="Arial"/>
                <w:sz w:val="20"/>
                <w:szCs w:val="20"/>
              </w:rPr>
            </w:pPr>
            <w:r w:rsidRPr="00623BE9">
              <w:rPr>
                <w:rFonts w:ascii="Verdana" w:hAnsi="Verdana" w:cs="Arial"/>
                <w:sz w:val="20"/>
                <w:szCs w:val="20"/>
              </w:rPr>
              <w:t xml:space="preserve">On this basis, RPS contends that the SAPOP has wrongly applied the findings of the RSFA in light of Featherstone’s accessibility to local employment. As a result, the SAPOP has wrongly scored the site as being in a location that is within the lower half of the Hansen score and thus has ‘unreasonable’ access to local employment. </w:t>
            </w:r>
            <w:r w:rsidR="001C6CB4" w:rsidRPr="00623BE9">
              <w:rPr>
                <w:rFonts w:ascii="Verdana" w:hAnsi="Verdana" w:cs="Arial"/>
                <w:sz w:val="20"/>
                <w:szCs w:val="20"/>
              </w:rPr>
              <w:t>The appraisal of Site 170 is therefore not soundly-based (not justified).</w:t>
            </w:r>
          </w:p>
          <w:p w14:paraId="623AEA6C" w14:textId="77777777" w:rsidR="001C6CB4" w:rsidRPr="00623BE9" w:rsidRDefault="001C6CB4" w:rsidP="00623BE9">
            <w:pPr>
              <w:spacing w:line="276" w:lineRule="auto"/>
              <w:jc w:val="both"/>
              <w:rPr>
                <w:rFonts w:ascii="Verdana" w:hAnsi="Verdana" w:cs="Arial"/>
                <w:sz w:val="20"/>
                <w:szCs w:val="20"/>
              </w:rPr>
            </w:pPr>
          </w:p>
          <w:p w14:paraId="2DE18F8C" w14:textId="7BB9A385" w:rsidR="005D0E5D" w:rsidRPr="00623BE9" w:rsidRDefault="00751967" w:rsidP="00623BE9">
            <w:pPr>
              <w:spacing w:line="276" w:lineRule="auto"/>
              <w:jc w:val="both"/>
              <w:rPr>
                <w:rFonts w:ascii="Verdana" w:hAnsi="Verdana" w:cs="Arial"/>
                <w:sz w:val="20"/>
                <w:szCs w:val="20"/>
              </w:rPr>
            </w:pPr>
            <w:r w:rsidRPr="00623BE9">
              <w:rPr>
                <w:rFonts w:ascii="Verdana" w:hAnsi="Verdana" w:cs="Arial"/>
                <w:sz w:val="20"/>
                <w:szCs w:val="20"/>
              </w:rPr>
              <w:t>Accordingly, the Council should identify the correct effect consistent with the SA methodology. The correct score in RPS’ view, as defined in the methodology, is ‘minor positive’</w:t>
            </w:r>
            <w:r w:rsidR="001C6CB4" w:rsidRPr="00623BE9">
              <w:rPr>
                <w:rFonts w:ascii="Verdana" w:hAnsi="Verdana" w:cs="Arial"/>
                <w:sz w:val="20"/>
                <w:szCs w:val="20"/>
              </w:rPr>
              <w:t>.</w:t>
            </w:r>
          </w:p>
          <w:p w14:paraId="1BC30D8B" w14:textId="24EB5A73" w:rsidR="001C6CB4" w:rsidRPr="00623BE9" w:rsidRDefault="001C6CB4" w:rsidP="00623BE9">
            <w:pPr>
              <w:spacing w:line="276" w:lineRule="auto"/>
              <w:jc w:val="both"/>
              <w:rPr>
                <w:rFonts w:ascii="Verdana" w:hAnsi="Verdana" w:cs="Arial"/>
                <w:sz w:val="20"/>
                <w:szCs w:val="20"/>
              </w:rPr>
            </w:pPr>
          </w:p>
          <w:p w14:paraId="1D905C24" w14:textId="77777777" w:rsidR="00E66901" w:rsidRPr="00623BE9" w:rsidRDefault="00E66901" w:rsidP="00623BE9">
            <w:pPr>
              <w:spacing w:line="276" w:lineRule="auto"/>
              <w:jc w:val="both"/>
              <w:rPr>
                <w:rFonts w:ascii="Verdana" w:hAnsi="Verdana" w:cs="Arial"/>
                <w:b/>
                <w:bCs/>
                <w:iCs/>
                <w:sz w:val="20"/>
                <w:szCs w:val="20"/>
              </w:rPr>
            </w:pPr>
            <w:r w:rsidRPr="00623BE9">
              <w:rPr>
                <w:rFonts w:ascii="Verdana" w:hAnsi="Verdana" w:cs="Arial"/>
                <w:b/>
                <w:bCs/>
                <w:iCs/>
                <w:sz w:val="20"/>
                <w:szCs w:val="20"/>
              </w:rPr>
              <w:t>Summary of RPS appraisal – adjusted scores for Site 170</w:t>
            </w:r>
          </w:p>
          <w:p w14:paraId="165D4D09" w14:textId="77777777" w:rsidR="00E66901" w:rsidRPr="00623BE9" w:rsidRDefault="00E66901"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Based on the foregoing analysis, RPS has adjusted the SA findings for site 170. This is set out in the table below.           </w:t>
            </w:r>
          </w:p>
          <w:p w14:paraId="73F9B628" w14:textId="6ED6CACD" w:rsidR="001C6CB4" w:rsidRPr="00623BE9" w:rsidRDefault="001C6CB4" w:rsidP="00623BE9">
            <w:pPr>
              <w:spacing w:line="276" w:lineRule="auto"/>
              <w:jc w:val="both"/>
              <w:rPr>
                <w:rFonts w:ascii="Verdana" w:hAnsi="Verdana" w:cs="Arial"/>
                <w:sz w:val="18"/>
                <w:szCs w:val="18"/>
              </w:rPr>
            </w:pPr>
          </w:p>
          <w:p w14:paraId="412F02C6" w14:textId="47A573CA" w:rsidR="00E66901" w:rsidRPr="00623BE9" w:rsidRDefault="00E66901" w:rsidP="00623BE9">
            <w:pPr>
              <w:spacing w:line="276" w:lineRule="auto"/>
              <w:jc w:val="both"/>
              <w:rPr>
                <w:rFonts w:ascii="Verdana" w:hAnsi="Verdana" w:cs="Arial"/>
                <w:b/>
                <w:bCs/>
                <w:sz w:val="18"/>
                <w:szCs w:val="18"/>
              </w:rPr>
            </w:pPr>
            <w:r w:rsidRPr="00623BE9">
              <w:rPr>
                <w:rFonts w:ascii="Verdana" w:hAnsi="Verdana" w:cs="Arial"/>
                <w:b/>
                <w:bCs/>
                <w:sz w:val="18"/>
                <w:szCs w:val="18"/>
              </w:rPr>
              <w:t>RPS Sustainability Appraisal – Site 170</w:t>
            </w:r>
          </w:p>
          <w:p w14:paraId="7F4D35E6" w14:textId="5D16F6DB" w:rsidR="009107B9" w:rsidRPr="00623BE9" w:rsidRDefault="009107B9" w:rsidP="00623BE9">
            <w:pPr>
              <w:spacing w:line="276" w:lineRule="auto"/>
              <w:jc w:val="both"/>
              <w:rPr>
                <w:rFonts w:ascii="Verdana" w:hAnsi="Verdana" w:cs="Arial"/>
                <w:sz w:val="18"/>
                <w:szCs w:val="18"/>
              </w:rPr>
            </w:pPr>
          </w:p>
          <w:tbl>
            <w:tblPr>
              <w:tblW w:w="9952" w:type="dxa"/>
              <w:tblLook w:val="04A0" w:firstRow="1" w:lastRow="0" w:firstColumn="1" w:lastColumn="0" w:noHBand="0" w:noVBand="1"/>
            </w:tblPr>
            <w:tblGrid>
              <w:gridCol w:w="1290"/>
              <w:gridCol w:w="643"/>
              <w:gridCol w:w="670"/>
              <w:gridCol w:w="553"/>
              <w:gridCol w:w="636"/>
              <w:gridCol w:w="644"/>
              <w:gridCol w:w="616"/>
              <w:gridCol w:w="644"/>
              <w:gridCol w:w="644"/>
              <w:gridCol w:w="616"/>
              <w:gridCol w:w="636"/>
              <w:gridCol w:w="553"/>
              <w:gridCol w:w="643"/>
            </w:tblGrid>
            <w:tr w:rsidR="00E66901" w:rsidRPr="00003067" w14:paraId="138D5FE3" w14:textId="77777777" w:rsidTr="00E66901">
              <w:trPr>
                <w:trHeight w:val="255"/>
              </w:trPr>
              <w:tc>
                <w:tcPr>
                  <w:tcW w:w="1476" w:type="dxa"/>
                  <w:vMerge w:val="restart"/>
                  <w:tcBorders>
                    <w:top w:val="nil"/>
                    <w:left w:val="nil"/>
                    <w:bottom w:val="single" w:sz="4" w:space="0" w:color="FFFFFF"/>
                    <w:right w:val="nil"/>
                  </w:tcBorders>
                  <w:shd w:val="clear" w:color="auto" w:fill="auto"/>
                  <w:noWrap/>
                  <w:hideMark/>
                </w:tcPr>
                <w:p w14:paraId="1FD9D1FB" w14:textId="0B44D633" w:rsidR="00E66901" w:rsidRPr="00623BE9" w:rsidRDefault="00E66901" w:rsidP="00623BE9">
                  <w:pPr>
                    <w:suppressAutoHyphens w:val="0"/>
                    <w:autoSpaceDN/>
                    <w:spacing w:line="276" w:lineRule="auto"/>
                    <w:textAlignment w:val="auto"/>
                    <w:rPr>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069"/>
                  </w:tblGrid>
                  <w:tr w:rsidR="00E66901" w:rsidRPr="00003067" w14:paraId="369097B2" w14:textId="77777777">
                    <w:trPr>
                      <w:trHeight w:val="458"/>
                      <w:tblCellSpacing w:w="0" w:type="dxa"/>
                    </w:trPr>
                    <w:tc>
                      <w:tcPr>
                        <w:tcW w:w="1460" w:type="dxa"/>
                        <w:vMerge w:val="restart"/>
                        <w:tcBorders>
                          <w:top w:val="nil"/>
                          <w:left w:val="nil"/>
                          <w:bottom w:val="single" w:sz="4" w:space="0" w:color="FFFFFF"/>
                          <w:right w:val="single" w:sz="4" w:space="0" w:color="FFFFFF"/>
                        </w:tcBorders>
                        <w:shd w:val="clear" w:color="000000" w:fill="A5D8DB"/>
                        <w:tcMar>
                          <w:top w:w="0" w:type="dxa"/>
                          <w:left w:w="135" w:type="dxa"/>
                          <w:bottom w:w="0" w:type="dxa"/>
                          <w:right w:w="0" w:type="dxa"/>
                        </w:tcMar>
                        <w:vAlign w:val="center"/>
                        <w:hideMark/>
                      </w:tcPr>
                      <w:p w14:paraId="02594AA0" w14:textId="77777777" w:rsidR="00E66901" w:rsidRPr="00003067" w:rsidRDefault="00E66901" w:rsidP="00623BE9">
                        <w:pPr>
                          <w:suppressAutoHyphens w:val="0"/>
                          <w:autoSpaceDN/>
                          <w:spacing w:line="276" w:lineRule="auto"/>
                          <w:ind w:firstLineChars="100" w:firstLine="180"/>
                          <w:textAlignment w:val="auto"/>
                          <w:rPr>
                            <w:rFonts w:ascii="Tahoma" w:hAnsi="Tahoma" w:cs="Tahoma"/>
                            <w:sz w:val="18"/>
                            <w:szCs w:val="18"/>
                          </w:rPr>
                        </w:pPr>
                        <w:r w:rsidRPr="00003067">
                          <w:rPr>
                            <w:rFonts w:ascii="Tahoma" w:hAnsi="Tahoma" w:cs="Tahoma"/>
                            <w:sz w:val="18"/>
                            <w:szCs w:val="18"/>
                          </w:rPr>
                          <w:t>Site Reference 170</w:t>
                        </w:r>
                      </w:p>
                    </w:tc>
                  </w:tr>
                  <w:tr w:rsidR="00E66901" w:rsidRPr="00003067" w14:paraId="12F4C1FC" w14:textId="77777777">
                    <w:trPr>
                      <w:trHeight w:val="458"/>
                      <w:tblCellSpacing w:w="0" w:type="dxa"/>
                    </w:trPr>
                    <w:tc>
                      <w:tcPr>
                        <w:tcW w:w="0" w:type="auto"/>
                        <w:vMerge/>
                        <w:tcBorders>
                          <w:top w:val="nil"/>
                          <w:left w:val="nil"/>
                          <w:bottom w:val="single" w:sz="4" w:space="0" w:color="FFFFFF"/>
                          <w:right w:val="single" w:sz="4" w:space="0" w:color="FFFFFF"/>
                        </w:tcBorders>
                        <w:vAlign w:val="center"/>
                        <w:hideMark/>
                      </w:tcPr>
                      <w:p w14:paraId="64184AA7" w14:textId="77777777" w:rsidR="00E66901" w:rsidRPr="00003067" w:rsidRDefault="00E66901" w:rsidP="00623BE9">
                        <w:pPr>
                          <w:suppressAutoHyphens w:val="0"/>
                          <w:autoSpaceDN/>
                          <w:spacing w:line="276" w:lineRule="auto"/>
                          <w:textAlignment w:val="auto"/>
                          <w:rPr>
                            <w:rFonts w:ascii="Tahoma" w:hAnsi="Tahoma" w:cs="Tahoma"/>
                            <w:sz w:val="18"/>
                            <w:szCs w:val="18"/>
                          </w:rPr>
                        </w:pPr>
                      </w:p>
                    </w:tc>
                  </w:tr>
                </w:tbl>
                <w:p w14:paraId="52C2A7CE" w14:textId="77777777" w:rsidR="00E66901" w:rsidRPr="00623BE9" w:rsidRDefault="00E66901" w:rsidP="00623BE9">
                  <w:pPr>
                    <w:suppressAutoHyphens w:val="0"/>
                    <w:autoSpaceDN/>
                    <w:spacing w:line="276" w:lineRule="auto"/>
                    <w:textAlignment w:val="auto"/>
                    <w:rPr>
                      <w:color w:val="000000"/>
                      <w:sz w:val="18"/>
                      <w:szCs w:val="18"/>
                    </w:rPr>
                  </w:pPr>
                </w:p>
              </w:tc>
              <w:tc>
                <w:tcPr>
                  <w:tcW w:w="728" w:type="dxa"/>
                  <w:tcBorders>
                    <w:top w:val="nil"/>
                    <w:left w:val="nil"/>
                    <w:bottom w:val="single" w:sz="4" w:space="0" w:color="FFFFFF"/>
                    <w:right w:val="single" w:sz="4" w:space="0" w:color="FFFFFF"/>
                  </w:tcBorders>
                  <w:shd w:val="clear" w:color="000000" w:fill="355C8E"/>
                  <w:noWrap/>
                  <w:hideMark/>
                </w:tcPr>
                <w:p w14:paraId="10AC59B6" w14:textId="77777777" w:rsidR="00E66901" w:rsidRPr="00003067" w:rsidRDefault="00E66901" w:rsidP="00623BE9">
                  <w:pPr>
                    <w:suppressAutoHyphens w:val="0"/>
                    <w:autoSpaceDN/>
                    <w:spacing w:line="276" w:lineRule="auto"/>
                    <w:textAlignment w:val="auto"/>
                    <w:rPr>
                      <w:rFonts w:ascii="Tahoma" w:hAnsi="Tahoma" w:cs="Tahoma"/>
                      <w:color w:val="FFFFFF"/>
                      <w:sz w:val="18"/>
                      <w:szCs w:val="18"/>
                    </w:rPr>
                  </w:pPr>
                  <w:r w:rsidRPr="00003067">
                    <w:rPr>
                      <w:rFonts w:ascii="Tahoma" w:hAnsi="Tahoma" w:cs="Tahoma"/>
                      <w:color w:val="FFFFFF"/>
                      <w:sz w:val="18"/>
                      <w:szCs w:val="18"/>
                    </w:rPr>
                    <w:t>1</w:t>
                  </w:r>
                </w:p>
              </w:tc>
              <w:tc>
                <w:tcPr>
                  <w:tcW w:w="761" w:type="dxa"/>
                  <w:tcBorders>
                    <w:top w:val="nil"/>
                    <w:left w:val="nil"/>
                    <w:bottom w:val="single" w:sz="4" w:space="0" w:color="FFFFFF"/>
                    <w:right w:val="single" w:sz="4" w:space="0" w:color="FFFFFF"/>
                  </w:tcBorders>
                  <w:shd w:val="clear" w:color="000000" w:fill="355C8E"/>
                  <w:noWrap/>
                  <w:hideMark/>
                </w:tcPr>
                <w:p w14:paraId="3EFA66B8" w14:textId="77777777" w:rsidR="00E66901" w:rsidRPr="00003067" w:rsidRDefault="00E66901" w:rsidP="00623BE9">
                  <w:pPr>
                    <w:suppressAutoHyphens w:val="0"/>
                    <w:autoSpaceDN/>
                    <w:spacing w:line="276" w:lineRule="auto"/>
                    <w:ind w:firstLineChars="200" w:firstLine="360"/>
                    <w:textAlignment w:val="auto"/>
                    <w:rPr>
                      <w:rFonts w:ascii="Tahoma" w:hAnsi="Tahoma" w:cs="Tahoma"/>
                      <w:color w:val="FFFFFF"/>
                      <w:sz w:val="18"/>
                      <w:szCs w:val="18"/>
                    </w:rPr>
                  </w:pPr>
                  <w:r w:rsidRPr="00003067">
                    <w:rPr>
                      <w:rFonts w:ascii="Tahoma" w:hAnsi="Tahoma" w:cs="Tahoma"/>
                      <w:color w:val="FFFFFF"/>
                      <w:sz w:val="18"/>
                      <w:szCs w:val="18"/>
                    </w:rPr>
                    <w:t>2</w:t>
                  </w:r>
                </w:p>
              </w:tc>
              <w:tc>
                <w:tcPr>
                  <w:tcW w:w="620" w:type="dxa"/>
                  <w:tcBorders>
                    <w:top w:val="nil"/>
                    <w:left w:val="nil"/>
                    <w:bottom w:val="single" w:sz="4" w:space="0" w:color="FFFFFF"/>
                    <w:right w:val="single" w:sz="4" w:space="0" w:color="FFFFFF"/>
                  </w:tcBorders>
                  <w:shd w:val="clear" w:color="000000" w:fill="355C8E"/>
                  <w:noWrap/>
                  <w:hideMark/>
                </w:tcPr>
                <w:p w14:paraId="27438540" w14:textId="77777777" w:rsidR="00E66901" w:rsidRPr="00003067" w:rsidRDefault="00E66901" w:rsidP="00623BE9">
                  <w:pPr>
                    <w:suppressAutoHyphens w:val="0"/>
                    <w:autoSpaceDN/>
                    <w:spacing w:line="276" w:lineRule="auto"/>
                    <w:textAlignment w:val="auto"/>
                    <w:rPr>
                      <w:rFonts w:ascii="Tahoma" w:hAnsi="Tahoma" w:cs="Tahoma"/>
                      <w:color w:val="FFFFFF"/>
                      <w:sz w:val="18"/>
                      <w:szCs w:val="18"/>
                    </w:rPr>
                  </w:pPr>
                  <w:r w:rsidRPr="00003067">
                    <w:rPr>
                      <w:rFonts w:ascii="Tahoma" w:hAnsi="Tahoma" w:cs="Tahoma"/>
                      <w:color w:val="FFFFFF"/>
                      <w:sz w:val="18"/>
                      <w:szCs w:val="18"/>
                    </w:rPr>
                    <w:t>3</w:t>
                  </w:r>
                </w:p>
              </w:tc>
              <w:tc>
                <w:tcPr>
                  <w:tcW w:w="720" w:type="dxa"/>
                  <w:tcBorders>
                    <w:top w:val="nil"/>
                    <w:left w:val="nil"/>
                    <w:bottom w:val="single" w:sz="4" w:space="0" w:color="FFFFFF"/>
                    <w:right w:val="single" w:sz="4" w:space="0" w:color="FFFFFF"/>
                  </w:tcBorders>
                  <w:shd w:val="clear" w:color="000000" w:fill="355C8E"/>
                  <w:noWrap/>
                  <w:hideMark/>
                </w:tcPr>
                <w:p w14:paraId="645BAB02" w14:textId="77777777" w:rsidR="00E66901" w:rsidRPr="00003067" w:rsidRDefault="00E66901" w:rsidP="00623BE9">
                  <w:pPr>
                    <w:suppressAutoHyphens w:val="0"/>
                    <w:autoSpaceDN/>
                    <w:spacing w:line="276" w:lineRule="auto"/>
                    <w:ind w:firstLineChars="100" w:firstLine="180"/>
                    <w:textAlignment w:val="auto"/>
                    <w:rPr>
                      <w:rFonts w:ascii="Tahoma" w:hAnsi="Tahoma" w:cs="Tahoma"/>
                      <w:color w:val="FFFFFF"/>
                      <w:sz w:val="18"/>
                      <w:szCs w:val="18"/>
                    </w:rPr>
                  </w:pPr>
                  <w:r w:rsidRPr="00003067">
                    <w:rPr>
                      <w:rFonts w:ascii="Tahoma" w:hAnsi="Tahoma" w:cs="Tahoma"/>
                      <w:color w:val="FFFFFF"/>
                      <w:sz w:val="18"/>
                      <w:szCs w:val="18"/>
                    </w:rPr>
                    <w:t>4</w:t>
                  </w:r>
                </w:p>
              </w:tc>
              <w:tc>
                <w:tcPr>
                  <w:tcW w:w="729" w:type="dxa"/>
                  <w:tcBorders>
                    <w:top w:val="nil"/>
                    <w:left w:val="nil"/>
                    <w:bottom w:val="single" w:sz="4" w:space="0" w:color="FFFFFF"/>
                    <w:right w:val="single" w:sz="4" w:space="0" w:color="FFFFFF"/>
                  </w:tcBorders>
                  <w:shd w:val="clear" w:color="000000" w:fill="355C8E"/>
                  <w:noWrap/>
                  <w:hideMark/>
                </w:tcPr>
                <w:p w14:paraId="2BBC65DC" w14:textId="77777777" w:rsidR="00E66901" w:rsidRPr="00003067" w:rsidRDefault="00E66901" w:rsidP="00623BE9">
                  <w:pPr>
                    <w:suppressAutoHyphens w:val="0"/>
                    <w:autoSpaceDN/>
                    <w:spacing w:line="276" w:lineRule="auto"/>
                    <w:ind w:firstLineChars="200" w:firstLine="360"/>
                    <w:textAlignment w:val="auto"/>
                    <w:rPr>
                      <w:rFonts w:ascii="Tahoma" w:hAnsi="Tahoma" w:cs="Tahoma"/>
                      <w:color w:val="FFFFFF"/>
                      <w:sz w:val="18"/>
                      <w:szCs w:val="18"/>
                    </w:rPr>
                  </w:pPr>
                  <w:r w:rsidRPr="00003067">
                    <w:rPr>
                      <w:rFonts w:ascii="Tahoma" w:hAnsi="Tahoma" w:cs="Tahoma"/>
                      <w:color w:val="FFFFFF"/>
                      <w:sz w:val="18"/>
                      <w:szCs w:val="18"/>
                    </w:rPr>
                    <w:t>5</w:t>
                  </w:r>
                </w:p>
              </w:tc>
              <w:tc>
                <w:tcPr>
                  <w:tcW w:w="696" w:type="dxa"/>
                  <w:tcBorders>
                    <w:top w:val="nil"/>
                    <w:left w:val="nil"/>
                    <w:bottom w:val="single" w:sz="4" w:space="0" w:color="FFFFFF"/>
                    <w:right w:val="single" w:sz="4" w:space="0" w:color="FFFFFF"/>
                  </w:tcBorders>
                  <w:shd w:val="clear" w:color="000000" w:fill="355C8E"/>
                  <w:noWrap/>
                  <w:hideMark/>
                </w:tcPr>
                <w:p w14:paraId="759C859B" w14:textId="77777777" w:rsidR="00E66901" w:rsidRPr="00003067" w:rsidRDefault="00E66901" w:rsidP="00623BE9">
                  <w:pPr>
                    <w:suppressAutoHyphens w:val="0"/>
                    <w:autoSpaceDN/>
                    <w:spacing w:line="276" w:lineRule="auto"/>
                    <w:ind w:firstLineChars="100" w:firstLine="180"/>
                    <w:textAlignment w:val="auto"/>
                    <w:rPr>
                      <w:rFonts w:ascii="Tahoma" w:hAnsi="Tahoma" w:cs="Tahoma"/>
                      <w:color w:val="FFFFFF"/>
                      <w:sz w:val="18"/>
                      <w:szCs w:val="18"/>
                    </w:rPr>
                  </w:pPr>
                  <w:r w:rsidRPr="00003067">
                    <w:rPr>
                      <w:rFonts w:ascii="Tahoma" w:hAnsi="Tahoma" w:cs="Tahoma"/>
                      <w:color w:val="FFFFFF"/>
                      <w:sz w:val="18"/>
                      <w:szCs w:val="18"/>
                    </w:rPr>
                    <w:t>6</w:t>
                  </w:r>
                </w:p>
              </w:tc>
              <w:tc>
                <w:tcPr>
                  <w:tcW w:w="729" w:type="dxa"/>
                  <w:tcBorders>
                    <w:top w:val="nil"/>
                    <w:left w:val="nil"/>
                    <w:bottom w:val="single" w:sz="4" w:space="0" w:color="FFFFFF"/>
                    <w:right w:val="single" w:sz="4" w:space="0" w:color="FFFFFF"/>
                  </w:tcBorders>
                  <w:shd w:val="clear" w:color="000000" w:fill="355C8E"/>
                  <w:noWrap/>
                  <w:hideMark/>
                </w:tcPr>
                <w:p w14:paraId="10BE7F9A" w14:textId="77777777" w:rsidR="00E66901" w:rsidRPr="00003067" w:rsidRDefault="00E66901" w:rsidP="00623BE9">
                  <w:pPr>
                    <w:suppressAutoHyphens w:val="0"/>
                    <w:autoSpaceDN/>
                    <w:spacing w:line="276" w:lineRule="auto"/>
                    <w:ind w:firstLineChars="200" w:firstLine="360"/>
                    <w:textAlignment w:val="auto"/>
                    <w:rPr>
                      <w:rFonts w:ascii="Tahoma" w:hAnsi="Tahoma" w:cs="Tahoma"/>
                      <w:color w:val="FFFFFF"/>
                      <w:sz w:val="18"/>
                      <w:szCs w:val="18"/>
                    </w:rPr>
                  </w:pPr>
                  <w:r w:rsidRPr="00003067">
                    <w:rPr>
                      <w:rFonts w:ascii="Tahoma" w:hAnsi="Tahoma" w:cs="Tahoma"/>
                      <w:color w:val="FFFFFF"/>
                      <w:sz w:val="18"/>
                      <w:szCs w:val="18"/>
                    </w:rPr>
                    <w:t>7</w:t>
                  </w:r>
                </w:p>
              </w:tc>
              <w:tc>
                <w:tcPr>
                  <w:tcW w:w="729" w:type="dxa"/>
                  <w:tcBorders>
                    <w:top w:val="nil"/>
                    <w:left w:val="nil"/>
                    <w:bottom w:val="single" w:sz="4" w:space="0" w:color="FFFFFF"/>
                    <w:right w:val="single" w:sz="4" w:space="0" w:color="FFFFFF"/>
                  </w:tcBorders>
                  <w:shd w:val="clear" w:color="000000" w:fill="355C8E"/>
                  <w:noWrap/>
                  <w:hideMark/>
                </w:tcPr>
                <w:p w14:paraId="7731E6D2" w14:textId="77777777" w:rsidR="00E66901" w:rsidRPr="00003067" w:rsidRDefault="00E66901" w:rsidP="00623BE9">
                  <w:pPr>
                    <w:suppressAutoHyphens w:val="0"/>
                    <w:autoSpaceDN/>
                    <w:spacing w:line="276" w:lineRule="auto"/>
                    <w:ind w:firstLineChars="200" w:firstLine="360"/>
                    <w:textAlignment w:val="auto"/>
                    <w:rPr>
                      <w:rFonts w:ascii="Tahoma" w:hAnsi="Tahoma" w:cs="Tahoma"/>
                      <w:color w:val="FFFFFF"/>
                      <w:sz w:val="18"/>
                      <w:szCs w:val="18"/>
                    </w:rPr>
                  </w:pPr>
                  <w:r w:rsidRPr="00003067">
                    <w:rPr>
                      <w:rFonts w:ascii="Tahoma" w:hAnsi="Tahoma" w:cs="Tahoma"/>
                      <w:color w:val="FFFFFF"/>
                      <w:sz w:val="18"/>
                      <w:szCs w:val="18"/>
                    </w:rPr>
                    <w:t>8</w:t>
                  </w:r>
                </w:p>
              </w:tc>
              <w:tc>
                <w:tcPr>
                  <w:tcW w:w="696" w:type="dxa"/>
                  <w:tcBorders>
                    <w:top w:val="nil"/>
                    <w:left w:val="nil"/>
                    <w:bottom w:val="single" w:sz="4" w:space="0" w:color="FFFFFF"/>
                    <w:right w:val="single" w:sz="4" w:space="0" w:color="FFFFFF"/>
                  </w:tcBorders>
                  <w:shd w:val="clear" w:color="000000" w:fill="355C8E"/>
                  <w:noWrap/>
                  <w:hideMark/>
                </w:tcPr>
                <w:p w14:paraId="5071091D" w14:textId="77777777" w:rsidR="00E66901" w:rsidRPr="00003067" w:rsidRDefault="00E66901" w:rsidP="00623BE9">
                  <w:pPr>
                    <w:suppressAutoHyphens w:val="0"/>
                    <w:autoSpaceDN/>
                    <w:spacing w:line="276" w:lineRule="auto"/>
                    <w:textAlignment w:val="auto"/>
                    <w:rPr>
                      <w:rFonts w:ascii="Tahoma" w:hAnsi="Tahoma" w:cs="Tahoma"/>
                      <w:color w:val="FFFFFF"/>
                      <w:sz w:val="18"/>
                      <w:szCs w:val="18"/>
                    </w:rPr>
                  </w:pPr>
                  <w:r w:rsidRPr="00003067">
                    <w:rPr>
                      <w:rFonts w:ascii="Tahoma" w:hAnsi="Tahoma" w:cs="Tahoma"/>
                      <w:color w:val="FFFFFF"/>
                      <w:sz w:val="18"/>
                      <w:szCs w:val="18"/>
                    </w:rPr>
                    <w:t>9</w:t>
                  </w:r>
                </w:p>
              </w:tc>
              <w:tc>
                <w:tcPr>
                  <w:tcW w:w="720" w:type="dxa"/>
                  <w:tcBorders>
                    <w:top w:val="nil"/>
                    <w:left w:val="nil"/>
                    <w:bottom w:val="single" w:sz="4" w:space="0" w:color="FFFFFF"/>
                    <w:right w:val="single" w:sz="4" w:space="0" w:color="FFFFFF"/>
                  </w:tcBorders>
                  <w:shd w:val="clear" w:color="000000" w:fill="355C8E"/>
                  <w:noWrap/>
                  <w:hideMark/>
                </w:tcPr>
                <w:p w14:paraId="1B777D12" w14:textId="77777777" w:rsidR="00E66901" w:rsidRPr="00003067" w:rsidRDefault="00E66901" w:rsidP="00623BE9">
                  <w:pPr>
                    <w:suppressAutoHyphens w:val="0"/>
                    <w:autoSpaceDN/>
                    <w:spacing w:line="276" w:lineRule="auto"/>
                    <w:ind w:firstLineChars="100" w:firstLine="180"/>
                    <w:textAlignment w:val="auto"/>
                    <w:rPr>
                      <w:rFonts w:ascii="Tahoma" w:hAnsi="Tahoma" w:cs="Tahoma"/>
                      <w:color w:val="FFFFFF"/>
                      <w:sz w:val="18"/>
                      <w:szCs w:val="18"/>
                    </w:rPr>
                  </w:pPr>
                  <w:r w:rsidRPr="00003067">
                    <w:rPr>
                      <w:rFonts w:ascii="Tahoma" w:hAnsi="Tahoma" w:cs="Tahoma"/>
                      <w:color w:val="FFFFFF"/>
                      <w:sz w:val="18"/>
                      <w:szCs w:val="18"/>
                    </w:rPr>
                    <w:t>10</w:t>
                  </w:r>
                </w:p>
              </w:tc>
              <w:tc>
                <w:tcPr>
                  <w:tcW w:w="620" w:type="dxa"/>
                  <w:tcBorders>
                    <w:top w:val="nil"/>
                    <w:left w:val="nil"/>
                    <w:bottom w:val="single" w:sz="4" w:space="0" w:color="FFFFFF"/>
                    <w:right w:val="single" w:sz="4" w:space="0" w:color="FFFFFF"/>
                  </w:tcBorders>
                  <w:shd w:val="clear" w:color="000000" w:fill="355C8E"/>
                  <w:noWrap/>
                  <w:hideMark/>
                </w:tcPr>
                <w:p w14:paraId="5205E5B8" w14:textId="77777777" w:rsidR="00E66901" w:rsidRPr="00003067" w:rsidRDefault="00E66901" w:rsidP="00623BE9">
                  <w:pPr>
                    <w:suppressAutoHyphens w:val="0"/>
                    <w:autoSpaceDN/>
                    <w:spacing w:line="276" w:lineRule="auto"/>
                    <w:textAlignment w:val="auto"/>
                    <w:rPr>
                      <w:rFonts w:ascii="Tahoma" w:hAnsi="Tahoma" w:cs="Tahoma"/>
                      <w:color w:val="FFFFFF"/>
                      <w:sz w:val="18"/>
                      <w:szCs w:val="18"/>
                    </w:rPr>
                  </w:pPr>
                  <w:r w:rsidRPr="00003067">
                    <w:rPr>
                      <w:rFonts w:ascii="Tahoma" w:hAnsi="Tahoma" w:cs="Tahoma"/>
                      <w:color w:val="FFFFFF"/>
                      <w:sz w:val="18"/>
                      <w:szCs w:val="18"/>
                    </w:rPr>
                    <w:t>11</w:t>
                  </w:r>
                </w:p>
              </w:tc>
              <w:tc>
                <w:tcPr>
                  <w:tcW w:w="728" w:type="dxa"/>
                  <w:tcBorders>
                    <w:top w:val="nil"/>
                    <w:left w:val="nil"/>
                    <w:bottom w:val="single" w:sz="4" w:space="0" w:color="FFFFFF"/>
                    <w:right w:val="nil"/>
                  </w:tcBorders>
                  <w:shd w:val="clear" w:color="000000" w:fill="355C8E"/>
                  <w:noWrap/>
                  <w:hideMark/>
                </w:tcPr>
                <w:p w14:paraId="474A96F0" w14:textId="77777777" w:rsidR="00E66901" w:rsidRPr="00003067" w:rsidRDefault="00E66901" w:rsidP="00623BE9">
                  <w:pPr>
                    <w:suppressAutoHyphens w:val="0"/>
                    <w:autoSpaceDN/>
                    <w:spacing w:line="276" w:lineRule="auto"/>
                    <w:ind w:firstLineChars="100" w:firstLine="180"/>
                    <w:textAlignment w:val="auto"/>
                    <w:rPr>
                      <w:rFonts w:ascii="Tahoma" w:hAnsi="Tahoma" w:cs="Tahoma"/>
                      <w:color w:val="FFFFFF"/>
                      <w:sz w:val="18"/>
                      <w:szCs w:val="18"/>
                    </w:rPr>
                  </w:pPr>
                  <w:r w:rsidRPr="00003067">
                    <w:rPr>
                      <w:rFonts w:ascii="Tahoma" w:hAnsi="Tahoma" w:cs="Tahoma"/>
                      <w:color w:val="FFFFFF"/>
                      <w:sz w:val="18"/>
                      <w:szCs w:val="18"/>
                    </w:rPr>
                    <w:t>12</w:t>
                  </w:r>
                </w:p>
              </w:tc>
            </w:tr>
            <w:tr w:rsidR="00E66901" w:rsidRPr="00003067" w14:paraId="647F3353" w14:textId="77777777" w:rsidTr="00E66901">
              <w:trPr>
                <w:trHeight w:val="1380"/>
              </w:trPr>
              <w:tc>
                <w:tcPr>
                  <w:tcW w:w="1476" w:type="dxa"/>
                  <w:vMerge/>
                  <w:tcBorders>
                    <w:top w:val="nil"/>
                    <w:left w:val="nil"/>
                    <w:bottom w:val="single" w:sz="4" w:space="0" w:color="FFFFFF"/>
                    <w:right w:val="nil"/>
                  </w:tcBorders>
                  <w:vAlign w:val="center"/>
                  <w:hideMark/>
                </w:tcPr>
                <w:p w14:paraId="31A4541E" w14:textId="77777777" w:rsidR="00E66901" w:rsidRPr="00623BE9" w:rsidRDefault="00E66901" w:rsidP="00623BE9">
                  <w:pPr>
                    <w:suppressAutoHyphens w:val="0"/>
                    <w:autoSpaceDN/>
                    <w:spacing w:line="276" w:lineRule="auto"/>
                    <w:textAlignment w:val="auto"/>
                    <w:rPr>
                      <w:color w:val="000000"/>
                      <w:sz w:val="18"/>
                      <w:szCs w:val="18"/>
                    </w:rPr>
                  </w:pPr>
                </w:p>
              </w:tc>
              <w:tc>
                <w:tcPr>
                  <w:tcW w:w="728" w:type="dxa"/>
                  <w:tcBorders>
                    <w:top w:val="nil"/>
                    <w:left w:val="nil"/>
                    <w:bottom w:val="single" w:sz="4" w:space="0" w:color="FFFFFF"/>
                    <w:right w:val="single" w:sz="4" w:space="0" w:color="FFFFFF"/>
                  </w:tcBorders>
                  <w:shd w:val="clear" w:color="000000" w:fill="355C8E"/>
                  <w:textDirection w:val="btLr"/>
                  <w:vAlign w:val="bottom"/>
                  <w:hideMark/>
                </w:tcPr>
                <w:p w14:paraId="083BD5C6"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color w:val="FFFFFF"/>
                      <w:sz w:val="18"/>
                      <w:szCs w:val="18"/>
                    </w:rPr>
                    <w:t>Climate Change Mitigation</w:t>
                  </w:r>
                </w:p>
              </w:tc>
              <w:tc>
                <w:tcPr>
                  <w:tcW w:w="761" w:type="dxa"/>
                  <w:tcBorders>
                    <w:top w:val="nil"/>
                    <w:left w:val="nil"/>
                    <w:bottom w:val="single" w:sz="4" w:space="0" w:color="FFFFFF"/>
                    <w:right w:val="single" w:sz="4" w:space="0" w:color="FFFFFF"/>
                  </w:tcBorders>
                  <w:shd w:val="clear" w:color="000000" w:fill="355C8E"/>
                  <w:textDirection w:val="btLr"/>
                  <w:vAlign w:val="bottom"/>
                  <w:hideMark/>
                </w:tcPr>
                <w:p w14:paraId="7A84BC5B"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color w:val="FFFFFF"/>
                      <w:sz w:val="18"/>
                      <w:szCs w:val="18"/>
                    </w:rPr>
                    <w:t>Climate Change Adaptation</w:t>
                  </w:r>
                </w:p>
              </w:tc>
              <w:tc>
                <w:tcPr>
                  <w:tcW w:w="620" w:type="dxa"/>
                  <w:tcBorders>
                    <w:top w:val="nil"/>
                    <w:left w:val="nil"/>
                    <w:bottom w:val="single" w:sz="4" w:space="0" w:color="FFFFFF"/>
                    <w:right w:val="single" w:sz="4" w:space="0" w:color="FFFFFF"/>
                  </w:tcBorders>
                  <w:shd w:val="clear" w:color="000000" w:fill="355C8E"/>
                  <w:textDirection w:val="btLr"/>
                  <w:vAlign w:val="bottom"/>
                  <w:hideMark/>
                </w:tcPr>
                <w:p w14:paraId="513AEE70"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color w:val="FFFFFF"/>
                      <w:sz w:val="18"/>
                      <w:szCs w:val="18"/>
                    </w:rPr>
                    <w:t>Biodiversity &amp; Geodiversity</w:t>
                  </w:r>
                </w:p>
              </w:tc>
              <w:tc>
                <w:tcPr>
                  <w:tcW w:w="720" w:type="dxa"/>
                  <w:tcBorders>
                    <w:top w:val="nil"/>
                    <w:left w:val="nil"/>
                    <w:bottom w:val="single" w:sz="4" w:space="0" w:color="FFFFFF"/>
                    <w:right w:val="single" w:sz="4" w:space="0" w:color="FFFFFF"/>
                  </w:tcBorders>
                  <w:shd w:val="clear" w:color="000000" w:fill="355C8E"/>
                  <w:textDirection w:val="btLr"/>
                  <w:vAlign w:val="bottom"/>
                  <w:hideMark/>
                </w:tcPr>
                <w:p w14:paraId="5CDA106F"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color w:val="FFFFFF"/>
                      <w:sz w:val="18"/>
                      <w:szCs w:val="18"/>
                    </w:rPr>
                    <w:t>Landscape &amp; Townscape</w:t>
                  </w:r>
                </w:p>
              </w:tc>
              <w:tc>
                <w:tcPr>
                  <w:tcW w:w="729" w:type="dxa"/>
                  <w:tcBorders>
                    <w:top w:val="nil"/>
                    <w:left w:val="nil"/>
                    <w:bottom w:val="single" w:sz="4" w:space="0" w:color="FFFFFF"/>
                    <w:right w:val="single" w:sz="4" w:space="0" w:color="FFFFFF"/>
                  </w:tcBorders>
                  <w:shd w:val="clear" w:color="000000" w:fill="355C8E"/>
                  <w:textDirection w:val="btLr"/>
                  <w:vAlign w:val="bottom"/>
                  <w:hideMark/>
                </w:tcPr>
                <w:p w14:paraId="34B552AF"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color w:val="FFFFFF"/>
                      <w:sz w:val="18"/>
                      <w:szCs w:val="18"/>
                    </w:rPr>
                    <w:t>Pollution &amp; Waste</w:t>
                  </w:r>
                </w:p>
              </w:tc>
              <w:tc>
                <w:tcPr>
                  <w:tcW w:w="696" w:type="dxa"/>
                  <w:tcBorders>
                    <w:top w:val="nil"/>
                    <w:left w:val="nil"/>
                    <w:bottom w:val="single" w:sz="4" w:space="0" w:color="FFFFFF"/>
                    <w:right w:val="single" w:sz="4" w:space="0" w:color="FFFFFF"/>
                  </w:tcBorders>
                  <w:shd w:val="clear" w:color="000000" w:fill="355C8E"/>
                  <w:textDirection w:val="btLr"/>
                  <w:vAlign w:val="bottom"/>
                  <w:hideMark/>
                </w:tcPr>
                <w:p w14:paraId="2B31CDAE"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color w:val="FFFFFF"/>
                      <w:sz w:val="18"/>
                      <w:szCs w:val="18"/>
                    </w:rPr>
                    <w:t>Natural Resources</w:t>
                  </w:r>
                </w:p>
              </w:tc>
              <w:tc>
                <w:tcPr>
                  <w:tcW w:w="729" w:type="dxa"/>
                  <w:tcBorders>
                    <w:top w:val="nil"/>
                    <w:left w:val="nil"/>
                    <w:bottom w:val="single" w:sz="4" w:space="0" w:color="FFFFFF"/>
                    <w:right w:val="single" w:sz="4" w:space="0" w:color="FFFFFF"/>
                  </w:tcBorders>
                  <w:shd w:val="clear" w:color="000000" w:fill="355C8E"/>
                  <w:textDirection w:val="btLr"/>
                  <w:vAlign w:val="bottom"/>
                  <w:hideMark/>
                </w:tcPr>
                <w:p w14:paraId="30AC5857"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color w:val="FFFFFF"/>
                      <w:sz w:val="18"/>
                      <w:szCs w:val="18"/>
                    </w:rPr>
                    <w:t>Housing</w:t>
                  </w:r>
                </w:p>
              </w:tc>
              <w:tc>
                <w:tcPr>
                  <w:tcW w:w="729" w:type="dxa"/>
                  <w:tcBorders>
                    <w:top w:val="nil"/>
                    <w:left w:val="nil"/>
                    <w:bottom w:val="single" w:sz="4" w:space="0" w:color="FFFFFF"/>
                    <w:right w:val="single" w:sz="4" w:space="0" w:color="FFFFFF"/>
                  </w:tcBorders>
                  <w:shd w:val="clear" w:color="000000" w:fill="355C8E"/>
                  <w:textDirection w:val="btLr"/>
                  <w:vAlign w:val="bottom"/>
                  <w:hideMark/>
                </w:tcPr>
                <w:p w14:paraId="5EC5CA0F"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color w:val="FFFFFF"/>
                      <w:sz w:val="18"/>
                      <w:szCs w:val="18"/>
                    </w:rPr>
                    <w:t>Health &amp; Wellbeing</w:t>
                  </w:r>
                </w:p>
              </w:tc>
              <w:tc>
                <w:tcPr>
                  <w:tcW w:w="696" w:type="dxa"/>
                  <w:tcBorders>
                    <w:top w:val="nil"/>
                    <w:left w:val="nil"/>
                    <w:bottom w:val="single" w:sz="4" w:space="0" w:color="FFFFFF"/>
                    <w:right w:val="single" w:sz="4" w:space="0" w:color="FFFFFF"/>
                  </w:tcBorders>
                  <w:shd w:val="clear" w:color="000000" w:fill="355C8E"/>
                  <w:textDirection w:val="btLr"/>
                  <w:vAlign w:val="bottom"/>
                  <w:hideMark/>
                </w:tcPr>
                <w:p w14:paraId="64E59416"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color w:val="FFFFFF"/>
                      <w:sz w:val="18"/>
                      <w:szCs w:val="18"/>
                    </w:rPr>
                    <w:t>Cultural Heritage</w:t>
                  </w:r>
                </w:p>
              </w:tc>
              <w:tc>
                <w:tcPr>
                  <w:tcW w:w="720" w:type="dxa"/>
                  <w:tcBorders>
                    <w:top w:val="nil"/>
                    <w:left w:val="nil"/>
                    <w:bottom w:val="single" w:sz="4" w:space="0" w:color="FFFFFF"/>
                    <w:right w:val="single" w:sz="4" w:space="0" w:color="FFFFFF"/>
                  </w:tcBorders>
                  <w:shd w:val="clear" w:color="000000" w:fill="355C8E"/>
                  <w:textDirection w:val="btLr"/>
                  <w:vAlign w:val="bottom"/>
                  <w:hideMark/>
                </w:tcPr>
                <w:p w14:paraId="566F0CBF"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color w:val="FFFFFF"/>
                      <w:sz w:val="18"/>
                      <w:szCs w:val="18"/>
                    </w:rPr>
                    <w:t>Transport &amp; Accessibility</w:t>
                  </w:r>
                </w:p>
              </w:tc>
              <w:tc>
                <w:tcPr>
                  <w:tcW w:w="620" w:type="dxa"/>
                  <w:tcBorders>
                    <w:top w:val="nil"/>
                    <w:left w:val="nil"/>
                    <w:bottom w:val="single" w:sz="4" w:space="0" w:color="FFFFFF"/>
                    <w:right w:val="single" w:sz="4" w:space="0" w:color="FFFFFF"/>
                  </w:tcBorders>
                  <w:shd w:val="clear" w:color="000000" w:fill="355C8E"/>
                  <w:textDirection w:val="btLr"/>
                  <w:vAlign w:val="bottom"/>
                  <w:hideMark/>
                </w:tcPr>
                <w:p w14:paraId="7D48E5C8"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color w:val="FFFFFF"/>
                      <w:sz w:val="18"/>
                      <w:szCs w:val="18"/>
                    </w:rPr>
                    <w:t>Education</w:t>
                  </w:r>
                </w:p>
              </w:tc>
              <w:tc>
                <w:tcPr>
                  <w:tcW w:w="728" w:type="dxa"/>
                  <w:tcBorders>
                    <w:top w:val="nil"/>
                    <w:left w:val="nil"/>
                    <w:bottom w:val="single" w:sz="4" w:space="0" w:color="FFFFFF"/>
                    <w:right w:val="nil"/>
                  </w:tcBorders>
                  <w:shd w:val="clear" w:color="000000" w:fill="355C8E"/>
                  <w:textDirection w:val="btLr"/>
                  <w:vAlign w:val="bottom"/>
                  <w:hideMark/>
                </w:tcPr>
                <w:p w14:paraId="70A42729"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color w:val="FFFFFF"/>
                      <w:sz w:val="18"/>
                      <w:szCs w:val="18"/>
                    </w:rPr>
                    <w:t>Economy &amp; Employment</w:t>
                  </w:r>
                </w:p>
              </w:tc>
            </w:tr>
            <w:tr w:rsidR="00E66901" w:rsidRPr="00003067" w14:paraId="11F7EF5D" w14:textId="77777777" w:rsidTr="00E66901">
              <w:trPr>
                <w:trHeight w:val="255"/>
              </w:trPr>
              <w:tc>
                <w:tcPr>
                  <w:tcW w:w="9952" w:type="dxa"/>
                  <w:gridSpan w:val="13"/>
                  <w:tcBorders>
                    <w:top w:val="single" w:sz="4" w:space="0" w:color="FFFFFF"/>
                    <w:left w:val="nil"/>
                    <w:bottom w:val="single" w:sz="4" w:space="0" w:color="FFFFFF"/>
                    <w:right w:val="nil"/>
                  </w:tcBorders>
                  <w:shd w:val="clear" w:color="000000" w:fill="D9D9D9"/>
                  <w:hideMark/>
                </w:tcPr>
                <w:p w14:paraId="7EE0D27D"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sz w:val="18"/>
                      <w:szCs w:val="18"/>
                    </w:rPr>
                    <w:t>Featherstone</w:t>
                  </w:r>
                </w:p>
              </w:tc>
            </w:tr>
            <w:tr w:rsidR="00E66901" w:rsidRPr="00003067" w14:paraId="524AFAB9" w14:textId="77777777" w:rsidTr="00E66901">
              <w:trPr>
                <w:trHeight w:val="420"/>
              </w:trPr>
              <w:tc>
                <w:tcPr>
                  <w:tcW w:w="1476" w:type="dxa"/>
                  <w:tcBorders>
                    <w:top w:val="nil"/>
                    <w:left w:val="nil"/>
                    <w:bottom w:val="single" w:sz="4" w:space="0" w:color="FFFFFF"/>
                    <w:right w:val="nil"/>
                  </w:tcBorders>
                  <w:shd w:val="clear" w:color="000000" w:fill="D9D9D9"/>
                  <w:hideMark/>
                </w:tcPr>
                <w:p w14:paraId="6FA67044"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sz w:val="18"/>
                      <w:szCs w:val="18"/>
                    </w:rPr>
                    <w:t>RPS</w:t>
                  </w:r>
                </w:p>
              </w:tc>
              <w:tc>
                <w:tcPr>
                  <w:tcW w:w="728" w:type="dxa"/>
                  <w:tcBorders>
                    <w:top w:val="nil"/>
                    <w:left w:val="single" w:sz="4" w:space="0" w:color="FFFFFF"/>
                    <w:bottom w:val="single" w:sz="4" w:space="0" w:color="FFFFFF"/>
                    <w:right w:val="single" w:sz="4" w:space="0" w:color="FFFFFF"/>
                  </w:tcBorders>
                  <w:shd w:val="clear" w:color="000000" w:fill="548DD4"/>
                  <w:hideMark/>
                </w:tcPr>
                <w:p w14:paraId="5F2DC45B"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sz w:val="18"/>
                      <w:szCs w:val="18"/>
                    </w:rPr>
                    <w:t>+/-</w:t>
                  </w:r>
                </w:p>
              </w:tc>
              <w:tc>
                <w:tcPr>
                  <w:tcW w:w="761" w:type="dxa"/>
                  <w:tcBorders>
                    <w:top w:val="nil"/>
                    <w:left w:val="nil"/>
                    <w:bottom w:val="single" w:sz="4" w:space="0" w:color="FFFFFF"/>
                    <w:right w:val="single" w:sz="4" w:space="0" w:color="FFFFFF"/>
                  </w:tcBorders>
                  <w:shd w:val="clear" w:color="000000" w:fill="C2D69D"/>
                  <w:hideMark/>
                </w:tcPr>
                <w:p w14:paraId="79D2C75F"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620" w:type="dxa"/>
                  <w:tcBorders>
                    <w:top w:val="nil"/>
                    <w:left w:val="nil"/>
                    <w:bottom w:val="single" w:sz="4" w:space="0" w:color="FFFFFF"/>
                    <w:right w:val="single" w:sz="4" w:space="0" w:color="FFFFFF"/>
                  </w:tcBorders>
                  <w:shd w:val="clear" w:color="000000" w:fill="FFFF00"/>
                  <w:noWrap/>
                  <w:hideMark/>
                </w:tcPr>
                <w:p w14:paraId="2637926E" w14:textId="77777777" w:rsidR="00E66901" w:rsidRPr="00003067" w:rsidRDefault="00E66901" w:rsidP="00623BE9">
                  <w:pPr>
                    <w:suppressAutoHyphens w:val="0"/>
                    <w:autoSpaceDN/>
                    <w:spacing w:line="276" w:lineRule="auto"/>
                    <w:textAlignment w:val="auto"/>
                    <w:rPr>
                      <w:rFonts w:ascii="Tahoma" w:hAnsi="Tahoma" w:cs="Tahoma"/>
                      <w:color w:val="000000"/>
                      <w:sz w:val="18"/>
                      <w:szCs w:val="18"/>
                    </w:rPr>
                  </w:pPr>
                  <w:r w:rsidRPr="00003067">
                    <w:rPr>
                      <w:rFonts w:ascii="Tahoma" w:hAnsi="Tahoma" w:cs="Tahoma"/>
                      <w:color w:val="000000"/>
                      <w:sz w:val="18"/>
                      <w:szCs w:val="18"/>
                    </w:rPr>
                    <w:t>0</w:t>
                  </w:r>
                </w:p>
              </w:tc>
              <w:tc>
                <w:tcPr>
                  <w:tcW w:w="720" w:type="dxa"/>
                  <w:tcBorders>
                    <w:top w:val="nil"/>
                    <w:left w:val="nil"/>
                    <w:bottom w:val="single" w:sz="4" w:space="0" w:color="FFFFFF"/>
                    <w:right w:val="single" w:sz="4" w:space="0" w:color="FFFFFF"/>
                  </w:tcBorders>
                  <w:shd w:val="clear" w:color="000000" w:fill="FFFF00"/>
                  <w:noWrap/>
                  <w:hideMark/>
                </w:tcPr>
                <w:p w14:paraId="3CF956CF" w14:textId="77777777" w:rsidR="00E66901" w:rsidRPr="00003067" w:rsidRDefault="00E66901" w:rsidP="00623BE9">
                  <w:pPr>
                    <w:suppressAutoHyphens w:val="0"/>
                    <w:autoSpaceDN/>
                    <w:spacing w:line="276" w:lineRule="auto"/>
                    <w:textAlignment w:val="auto"/>
                    <w:rPr>
                      <w:rFonts w:ascii="Tahoma" w:hAnsi="Tahoma" w:cs="Tahoma"/>
                      <w:color w:val="000000"/>
                      <w:sz w:val="18"/>
                      <w:szCs w:val="18"/>
                    </w:rPr>
                  </w:pPr>
                  <w:r w:rsidRPr="00003067">
                    <w:rPr>
                      <w:rFonts w:ascii="Tahoma" w:hAnsi="Tahoma" w:cs="Tahoma"/>
                      <w:color w:val="000000"/>
                      <w:sz w:val="18"/>
                      <w:szCs w:val="18"/>
                    </w:rPr>
                    <w:t>0</w:t>
                  </w:r>
                </w:p>
              </w:tc>
              <w:tc>
                <w:tcPr>
                  <w:tcW w:w="729" w:type="dxa"/>
                  <w:tcBorders>
                    <w:top w:val="nil"/>
                    <w:left w:val="nil"/>
                    <w:bottom w:val="single" w:sz="4" w:space="0" w:color="FFFFFF"/>
                    <w:right w:val="single" w:sz="4" w:space="0" w:color="FFFFFF"/>
                  </w:tcBorders>
                  <w:shd w:val="clear" w:color="000000" w:fill="FFFF00"/>
                  <w:noWrap/>
                  <w:hideMark/>
                </w:tcPr>
                <w:p w14:paraId="44841CAA" w14:textId="77777777" w:rsidR="00E66901" w:rsidRPr="00003067" w:rsidRDefault="00E66901" w:rsidP="00623BE9">
                  <w:pPr>
                    <w:suppressAutoHyphens w:val="0"/>
                    <w:autoSpaceDN/>
                    <w:spacing w:line="276" w:lineRule="auto"/>
                    <w:textAlignment w:val="auto"/>
                    <w:rPr>
                      <w:rFonts w:ascii="Tahoma" w:hAnsi="Tahoma" w:cs="Tahoma"/>
                      <w:color w:val="000000"/>
                      <w:sz w:val="18"/>
                      <w:szCs w:val="18"/>
                    </w:rPr>
                  </w:pPr>
                  <w:r w:rsidRPr="00003067">
                    <w:rPr>
                      <w:rFonts w:ascii="Tahoma" w:hAnsi="Tahoma" w:cs="Tahoma"/>
                      <w:color w:val="000000"/>
                      <w:sz w:val="18"/>
                      <w:szCs w:val="18"/>
                    </w:rPr>
                    <w:t>0</w:t>
                  </w:r>
                </w:p>
              </w:tc>
              <w:tc>
                <w:tcPr>
                  <w:tcW w:w="696" w:type="dxa"/>
                  <w:tcBorders>
                    <w:top w:val="nil"/>
                    <w:left w:val="nil"/>
                    <w:bottom w:val="single" w:sz="4" w:space="0" w:color="FFFFFF"/>
                    <w:right w:val="single" w:sz="4" w:space="0" w:color="FFFFFF"/>
                  </w:tcBorders>
                  <w:shd w:val="clear" w:color="000000" w:fill="548DD4"/>
                  <w:hideMark/>
                </w:tcPr>
                <w:p w14:paraId="1B4C7AF4"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single" w:sz="4" w:space="0" w:color="FFFFFF"/>
                  </w:tcBorders>
                  <w:shd w:val="clear" w:color="000000" w:fill="C2D69C"/>
                  <w:hideMark/>
                </w:tcPr>
                <w:p w14:paraId="6015AA45" w14:textId="77777777" w:rsidR="00E66901" w:rsidRPr="00003067" w:rsidRDefault="00E66901" w:rsidP="00623BE9">
                  <w:pPr>
                    <w:suppressAutoHyphens w:val="0"/>
                    <w:autoSpaceDN/>
                    <w:spacing w:line="276" w:lineRule="auto"/>
                    <w:ind w:firstLineChars="100" w:firstLine="180"/>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single" w:sz="4" w:space="0" w:color="FFFFFF"/>
                  </w:tcBorders>
                  <w:shd w:val="clear" w:color="000000" w:fill="DA9393"/>
                  <w:hideMark/>
                </w:tcPr>
                <w:p w14:paraId="3A320BC8"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696" w:type="dxa"/>
                  <w:tcBorders>
                    <w:top w:val="nil"/>
                    <w:left w:val="nil"/>
                    <w:bottom w:val="single" w:sz="4" w:space="0" w:color="FFFFFF"/>
                    <w:right w:val="single" w:sz="4" w:space="0" w:color="FFFFFF"/>
                  </w:tcBorders>
                  <w:shd w:val="clear" w:color="000000" w:fill="FFFF00"/>
                  <w:noWrap/>
                  <w:hideMark/>
                </w:tcPr>
                <w:p w14:paraId="2CFAD505" w14:textId="77777777" w:rsidR="00E66901" w:rsidRPr="00003067" w:rsidRDefault="00E66901" w:rsidP="00623BE9">
                  <w:pPr>
                    <w:suppressAutoHyphens w:val="0"/>
                    <w:autoSpaceDN/>
                    <w:spacing w:line="276" w:lineRule="auto"/>
                    <w:textAlignment w:val="auto"/>
                    <w:rPr>
                      <w:rFonts w:ascii="Tahoma" w:hAnsi="Tahoma" w:cs="Tahoma"/>
                      <w:color w:val="000000"/>
                      <w:sz w:val="18"/>
                      <w:szCs w:val="18"/>
                    </w:rPr>
                  </w:pPr>
                  <w:r w:rsidRPr="00003067">
                    <w:rPr>
                      <w:rFonts w:ascii="Tahoma" w:hAnsi="Tahoma" w:cs="Tahoma"/>
                      <w:color w:val="000000"/>
                      <w:sz w:val="18"/>
                      <w:szCs w:val="18"/>
                    </w:rPr>
                    <w:t>0</w:t>
                  </w:r>
                </w:p>
              </w:tc>
              <w:tc>
                <w:tcPr>
                  <w:tcW w:w="720" w:type="dxa"/>
                  <w:tcBorders>
                    <w:top w:val="nil"/>
                    <w:left w:val="nil"/>
                    <w:bottom w:val="single" w:sz="4" w:space="0" w:color="FFFFFF"/>
                    <w:right w:val="single" w:sz="4" w:space="0" w:color="FFFFFF"/>
                  </w:tcBorders>
                  <w:shd w:val="clear" w:color="000000" w:fill="C2D69C"/>
                  <w:hideMark/>
                </w:tcPr>
                <w:p w14:paraId="2DCAE0BB" w14:textId="77777777" w:rsidR="00E66901" w:rsidRPr="00003067" w:rsidRDefault="00E66901" w:rsidP="00623BE9">
                  <w:pPr>
                    <w:suppressAutoHyphens w:val="0"/>
                    <w:autoSpaceDN/>
                    <w:spacing w:line="276" w:lineRule="auto"/>
                    <w:ind w:firstLineChars="100" w:firstLine="180"/>
                    <w:textAlignment w:val="auto"/>
                    <w:rPr>
                      <w:rFonts w:ascii="Tahoma" w:hAnsi="Tahoma" w:cs="Tahoma"/>
                      <w:sz w:val="18"/>
                      <w:szCs w:val="18"/>
                    </w:rPr>
                  </w:pPr>
                  <w:r w:rsidRPr="00003067">
                    <w:rPr>
                      <w:rFonts w:ascii="Tahoma" w:hAnsi="Tahoma" w:cs="Tahoma"/>
                      <w:sz w:val="18"/>
                      <w:szCs w:val="18"/>
                    </w:rPr>
                    <w:t>+</w:t>
                  </w:r>
                </w:p>
              </w:tc>
              <w:tc>
                <w:tcPr>
                  <w:tcW w:w="620" w:type="dxa"/>
                  <w:tcBorders>
                    <w:top w:val="nil"/>
                    <w:left w:val="nil"/>
                    <w:bottom w:val="single" w:sz="4" w:space="0" w:color="FFFFFF"/>
                    <w:right w:val="single" w:sz="4" w:space="0" w:color="FFFFFF"/>
                  </w:tcBorders>
                  <w:shd w:val="clear" w:color="000000" w:fill="C2D69C"/>
                  <w:hideMark/>
                </w:tcPr>
                <w:p w14:paraId="5B1C3D73" w14:textId="77777777" w:rsidR="00E66901" w:rsidRPr="00003067" w:rsidRDefault="00E66901" w:rsidP="00623BE9">
                  <w:pPr>
                    <w:suppressAutoHyphens w:val="0"/>
                    <w:autoSpaceDN/>
                    <w:spacing w:line="276" w:lineRule="auto"/>
                    <w:ind w:firstLineChars="100" w:firstLine="180"/>
                    <w:textAlignment w:val="auto"/>
                    <w:rPr>
                      <w:rFonts w:ascii="Tahoma" w:hAnsi="Tahoma" w:cs="Tahoma"/>
                      <w:sz w:val="18"/>
                      <w:szCs w:val="18"/>
                    </w:rPr>
                  </w:pPr>
                  <w:r w:rsidRPr="00003067">
                    <w:rPr>
                      <w:rFonts w:ascii="Tahoma" w:hAnsi="Tahoma" w:cs="Tahoma"/>
                      <w:sz w:val="18"/>
                      <w:szCs w:val="18"/>
                    </w:rPr>
                    <w:t>+</w:t>
                  </w:r>
                </w:p>
              </w:tc>
              <w:tc>
                <w:tcPr>
                  <w:tcW w:w="728" w:type="dxa"/>
                  <w:tcBorders>
                    <w:top w:val="nil"/>
                    <w:left w:val="nil"/>
                    <w:bottom w:val="single" w:sz="4" w:space="0" w:color="FFFFFF"/>
                    <w:right w:val="single" w:sz="4" w:space="0" w:color="FFFFFF"/>
                  </w:tcBorders>
                  <w:shd w:val="clear" w:color="000000" w:fill="C2D69C"/>
                  <w:hideMark/>
                </w:tcPr>
                <w:p w14:paraId="656E449C" w14:textId="77777777" w:rsidR="00E66901" w:rsidRPr="00003067" w:rsidRDefault="00E66901" w:rsidP="00623BE9">
                  <w:pPr>
                    <w:suppressAutoHyphens w:val="0"/>
                    <w:autoSpaceDN/>
                    <w:spacing w:line="276" w:lineRule="auto"/>
                    <w:ind w:firstLineChars="100" w:firstLine="180"/>
                    <w:textAlignment w:val="auto"/>
                    <w:rPr>
                      <w:rFonts w:ascii="Tahoma" w:hAnsi="Tahoma" w:cs="Tahoma"/>
                      <w:sz w:val="18"/>
                      <w:szCs w:val="18"/>
                    </w:rPr>
                  </w:pPr>
                  <w:r w:rsidRPr="00003067">
                    <w:rPr>
                      <w:rFonts w:ascii="Tahoma" w:hAnsi="Tahoma" w:cs="Tahoma"/>
                      <w:sz w:val="18"/>
                      <w:szCs w:val="18"/>
                    </w:rPr>
                    <w:t>+</w:t>
                  </w:r>
                </w:p>
              </w:tc>
            </w:tr>
            <w:tr w:rsidR="00E66901" w:rsidRPr="00003067" w14:paraId="48161ACB" w14:textId="77777777" w:rsidTr="00E66901">
              <w:trPr>
                <w:trHeight w:val="255"/>
              </w:trPr>
              <w:tc>
                <w:tcPr>
                  <w:tcW w:w="1476" w:type="dxa"/>
                  <w:tcBorders>
                    <w:top w:val="nil"/>
                    <w:left w:val="nil"/>
                    <w:bottom w:val="single" w:sz="4" w:space="0" w:color="FFFFFF"/>
                    <w:right w:val="single" w:sz="4" w:space="0" w:color="FFFFFF"/>
                  </w:tcBorders>
                  <w:shd w:val="clear" w:color="000000" w:fill="A5D8DB"/>
                  <w:noWrap/>
                  <w:hideMark/>
                </w:tcPr>
                <w:p w14:paraId="2181742F" w14:textId="77777777" w:rsidR="00E66901" w:rsidRPr="00003067" w:rsidRDefault="00E66901" w:rsidP="00623BE9">
                  <w:pPr>
                    <w:suppressAutoHyphens w:val="0"/>
                    <w:autoSpaceDN/>
                    <w:spacing w:line="276" w:lineRule="auto"/>
                    <w:textAlignment w:val="auto"/>
                    <w:rPr>
                      <w:rFonts w:ascii="Tahoma" w:hAnsi="Tahoma" w:cs="Tahoma"/>
                      <w:color w:val="000000"/>
                      <w:sz w:val="18"/>
                      <w:szCs w:val="18"/>
                    </w:rPr>
                  </w:pPr>
                  <w:r w:rsidRPr="00003067">
                    <w:rPr>
                      <w:rFonts w:ascii="Tahoma" w:hAnsi="Tahoma" w:cs="Tahoma"/>
                      <w:color w:val="000000"/>
                      <w:sz w:val="18"/>
                      <w:szCs w:val="18"/>
                    </w:rPr>
                    <w:t>Post-mitigation</w:t>
                  </w:r>
                </w:p>
              </w:tc>
              <w:tc>
                <w:tcPr>
                  <w:tcW w:w="728" w:type="dxa"/>
                  <w:tcBorders>
                    <w:top w:val="nil"/>
                    <w:left w:val="nil"/>
                    <w:bottom w:val="single" w:sz="4" w:space="0" w:color="FFFFFF"/>
                    <w:right w:val="single" w:sz="4" w:space="0" w:color="FFFFFF"/>
                  </w:tcBorders>
                  <w:shd w:val="clear" w:color="000000" w:fill="548DD4"/>
                  <w:hideMark/>
                </w:tcPr>
                <w:p w14:paraId="7E52F4E7"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sz w:val="18"/>
                      <w:szCs w:val="18"/>
                    </w:rPr>
                    <w:t>+/-</w:t>
                  </w:r>
                </w:p>
              </w:tc>
              <w:tc>
                <w:tcPr>
                  <w:tcW w:w="761" w:type="dxa"/>
                  <w:tcBorders>
                    <w:top w:val="nil"/>
                    <w:left w:val="nil"/>
                    <w:bottom w:val="single" w:sz="4" w:space="0" w:color="FFFFFF"/>
                    <w:right w:val="single" w:sz="4" w:space="0" w:color="FFFFFF"/>
                  </w:tcBorders>
                  <w:shd w:val="clear" w:color="000000" w:fill="C2D69D"/>
                  <w:hideMark/>
                </w:tcPr>
                <w:p w14:paraId="4F8A4D36"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620" w:type="dxa"/>
                  <w:tcBorders>
                    <w:top w:val="nil"/>
                    <w:left w:val="nil"/>
                    <w:bottom w:val="single" w:sz="4" w:space="0" w:color="FFFFFF"/>
                    <w:right w:val="single" w:sz="4" w:space="0" w:color="FFFFFF"/>
                  </w:tcBorders>
                  <w:shd w:val="clear" w:color="000000" w:fill="FFFF00"/>
                  <w:noWrap/>
                  <w:hideMark/>
                </w:tcPr>
                <w:p w14:paraId="07C0DDDF" w14:textId="77777777" w:rsidR="00E66901" w:rsidRPr="00003067" w:rsidRDefault="00E66901" w:rsidP="00623BE9">
                  <w:pPr>
                    <w:suppressAutoHyphens w:val="0"/>
                    <w:autoSpaceDN/>
                    <w:spacing w:line="276" w:lineRule="auto"/>
                    <w:textAlignment w:val="auto"/>
                    <w:rPr>
                      <w:rFonts w:ascii="Tahoma" w:hAnsi="Tahoma" w:cs="Tahoma"/>
                      <w:color w:val="000000"/>
                      <w:sz w:val="18"/>
                      <w:szCs w:val="18"/>
                    </w:rPr>
                  </w:pPr>
                  <w:r w:rsidRPr="00003067">
                    <w:rPr>
                      <w:rFonts w:ascii="Tahoma" w:hAnsi="Tahoma" w:cs="Tahoma"/>
                      <w:color w:val="000000"/>
                      <w:sz w:val="18"/>
                      <w:szCs w:val="18"/>
                    </w:rPr>
                    <w:t>0</w:t>
                  </w:r>
                </w:p>
              </w:tc>
              <w:tc>
                <w:tcPr>
                  <w:tcW w:w="720" w:type="dxa"/>
                  <w:tcBorders>
                    <w:top w:val="nil"/>
                    <w:left w:val="nil"/>
                    <w:bottom w:val="single" w:sz="4" w:space="0" w:color="FFFFFF"/>
                    <w:right w:val="single" w:sz="4" w:space="0" w:color="FFFFFF"/>
                  </w:tcBorders>
                  <w:shd w:val="clear" w:color="000000" w:fill="DA9393"/>
                  <w:hideMark/>
                </w:tcPr>
                <w:p w14:paraId="0D0C71E8"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nil"/>
                  </w:tcBorders>
                  <w:shd w:val="clear" w:color="000000" w:fill="DA9393"/>
                  <w:hideMark/>
                </w:tcPr>
                <w:p w14:paraId="317A861B"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696" w:type="dxa"/>
                  <w:tcBorders>
                    <w:top w:val="nil"/>
                    <w:left w:val="nil"/>
                    <w:bottom w:val="single" w:sz="4" w:space="0" w:color="FFFFFF"/>
                    <w:right w:val="single" w:sz="4" w:space="0" w:color="FFFFFF"/>
                  </w:tcBorders>
                  <w:shd w:val="clear" w:color="000000" w:fill="DA9393"/>
                  <w:hideMark/>
                </w:tcPr>
                <w:p w14:paraId="447795D2"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single" w:sz="4" w:space="0" w:color="FFFFFF"/>
                  </w:tcBorders>
                  <w:shd w:val="clear" w:color="000000" w:fill="C2D69C"/>
                  <w:hideMark/>
                </w:tcPr>
                <w:p w14:paraId="3ABB753A" w14:textId="77777777" w:rsidR="00E66901" w:rsidRPr="00003067" w:rsidRDefault="00E66901" w:rsidP="00623BE9">
                  <w:pPr>
                    <w:suppressAutoHyphens w:val="0"/>
                    <w:autoSpaceDN/>
                    <w:spacing w:line="276" w:lineRule="auto"/>
                    <w:ind w:firstLineChars="100" w:firstLine="180"/>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single" w:sz="4" w:space="0" w:color="FFFFFF"/>
                  </w:tcBorders>
                  <w:shd w:val="clear" w:color="000000" w:fill="DA9393"/>
                  <w:hideMark/>
                </w:tcPr>
                <w:p w14:paraId="448D070A"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696" w:type="dxa"/>
                  <w:tcBorders>
                    <w:top w:val="nil"/>
                    <w:left w:val="nil"/>
                    <w:bottom w:val="single" w:sz="4" w:space="0" w:color="FFFFFF"/>
                    <w:right w:val="single" w:sz="4" w:space="0" w:color="FFFFFF"/>
                  </w:tcBorders>
                  <w:shd w:val="clear" w:color="000000" w:fill="FFFF00"/>
                  <w:noWrap/>
                  <w:hideMark/>
                </w:tcPr>
                <w:p w14:paraId="7153E3B8" w14:textId="77777777" w:rsidR="00E66901" w:rsidRPr="00003067" w:rsidRDefault="00E66901" w:rsidP="00623BE9">
                  <w:pPr>
                    <w:suppressAutoHyphens w:val="0"/>
                    <w:autoSpaceDN/>
                    <w:spacing w:line="276" w:lineRule="auto"/>
                    <w:textAlignment w:val="auto"/>
                    <w:rPr>
                      <w:rFonts w:ascii="Tahoma" w:hAnsi="Tahoma" w:cs="Tahoma"/>
                      <w:color w:val="000000"/>
                      <w:sz w:val="18"/>
                      <w:szCs w:val="18"/>
                    </w:rPr>
                  </w:pPr>
                  <w:r w:rsidRPr="00003067">
                    <w:rPr>
                      <w:rFonts w:ascii="Tahoma" w:hAnsi="Tahoma" w:cs="Tahoma"/>
                      <w:color w:val="000000"/>
                      <w:sz w:val="18"/>
                      <w:szCs w:val="18"/>
                    </w:rPr>
                    <w:t>0</w:t>
                  </w:r>
                </w:p>
              </w:tc>
              <w:tc>
                <w:tcPr>
                  <w:tcW w:w="720" w:type="dxa"/>
                  <w:tcBorders>
                    <w:top w:val="nil"/>
                    <w:left w:val="nil"/>
                    <w:bottom w:val="single" w:sz="4" w:space="0" w:color="FFFFFF"/>
                    <w:right w:val="single" w:sz="4" w:space="0" w:color="FFFFFF"/>
                  </w:tcBorders>
                  <w:shd w:val="clear" w:color="000000" w:fill="DA9393"/>
                  <w:hideMark/>
                </w:tcPr>
                <w:p w14:paraId="3A5408EC"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620" w:type="dxa"/>
                  <w:tcBorders>
                    <w:top w:val="nil"/>
                    <w:left w:val="nil"/>
                    <w:bottom w:val="single" w:sz="4" w:space="0" w:color="FFFFFF"/>
                    <w:right w:val="single" w:sz="4" w:space="0" w:color="FFFFFF"/>
                  </w:tcBorders>
                  <w:shd w:val="clear" w:color="000000" w:fill="DB9394"/>
                  <w:hideMark/>
                </w:tcPr>
                <w:p w14:paraId="44E721F9"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sz w:val="18"/>
                      <w:szCs w:val="18"/>
                    </w:rPr>
                    <w:t>-</w:t>
                  </w:r>
                </w:p>
              </w:tc>
              <w:tc>
                <w:tcPr>
                  <w:tcW w:w="728" w:type="dxa"/>
                  <w:tcBorders>
                    <w:top w:val="nil"/>
                    <w:left w:val="nil"/>
                    <w:bottom w:val="single" w:sz="4" w:space="0" w:color="FFFFFF"/>
                    <w:right w:val="nil"/>
                  </w:tcBorders>
                  <w:shd w:val="clear" w:color="000000" w:fill="DB9394"/>
                  <w:hideMark/>
                </w:tcPr>
                <w:p w14:paraId="720F17EF"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r>
            <w:tr w:rsidR="00E66901" w:rsidRPr="00003067" w14:paraId="2BB033F7" w14:textId="77777777" w:rsidTr="00E66901">
              <w:trPr>
                <w:trHeight w:val="255"/>
              </w:trPr>
              <w:tc>
                <w:tcPr>
                  <w:tcW w:w="1476" w:type="dxa"/>
                  <w:tcBorders>
                    <w:top w:val="nil"/>
                    <w:left w:val="nil"/>
                    <w:bottom w:val="nil"/>
                    <w:right w:val="nil"/>
                  </w:tcBorders>
                  <w:shd w:val="clear" w:color="000000" w:fill="A5D8DB"/>
                  <w:noWrap/>
                  <w:hideMark/>
                </w:tcPr>
                <w:p w14:paraId="130EB80A" w14:textId="77777777" w:rsidR="00E66901" w:rsidRPr="00003067" w:rsidRDefault="00E66901" w:rsidP="00623BE9">
                  <w:pPr>
                    <w:suppressAutoHyphens w:val="0"/>
                    <w:autoSpaceDN/>
                    <w:spacing w:line="276" w:lineRule="auto"/>
                    <w:textAlignment w:val="auto"/>
                    <w:rPr>
                      <w:rFonts w:ascii="Tahoma" w:hAnsi="Tahoma" w:cs="Tahoma"/>
                      <w:color w:val="000000"/>
                      <w:sz w:val="18"/>
                      <w:szCs w:val="18"/>
                    </w:rPr>
                  </w:pPr>
                  <w:r w:rsidRPr="00003067">
                    <w:rPr>
                      <w:rFonts w:ascii="Tahoma" w:hAnsi="Tahoma" w:cs="Tahoma"/>
                      <w:color w:val="000000"/>
                      <w:sz w:val="18"/>
                      <w:szCs w:val="18"/>
                    </w:rPr>
                    <w:t>Pre-mitigation</w:t>
                  </w:r>
                </w:p>
              </w:tc>
              <w:tc>
                <w:tcPr>
                  <w:tcW w:w="728" w:type="dxa"/>
                  <w:tcBorders>
                    <w:top w:val="nil"/>
                    <w:left w:val="single" w:sz="4" w:space="0" w:color="FFFFFF"/>
                    <w:bottom w:val="single" w:sz="4" w:space="0" w:color="FFFFFF"/>
                    <w:right w:val="single" w:sz="4" w:space="0" w:color="FFFFFF"/>
                  </w:tcBorders>
                  <w:shd w:val="clear" w:color="000000" w:fill="548DD4"/>
                  <w:hideMark/>
                </w:tcPr>
                <w:p w14:paraId="36B70664"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sz w:val="18"/>
                      <w:szCs w:val="18"/>
                    </w:rPr>
                    <w:t>+/-</w:t>
                  </w:r>
                </w:p>
              </w:tc>
              <w:tc>
                <w:tcPr>
                  <w:tcW w:w="761" w:type="dxa"/>
                  <w:tcBorders>
                    <w:top w:val="nil"/>
                    <w:left w:val="nil"/>
                    <w:bottom w:val="single" w:sz="4" w:space="0" w:color="FFFFFF"/>
                    <w:right w:val="single" w:sz="4" w:space="0" w:color="FFFFFF"/>
                  </w:tcBorders>
                  <w:shd w:val="clear" w:color="000000" w:fill="FF0000"/>
                  <w:hideMark/>
                </w:tcPr>
                <w:p w14:paraId="267CEAFE" w14:textId="77777777" w:rsidR="00E66901" w:rsidRPr="00003067" w:rsidRDefault="00E66901" w:rsidP="00623BE9">
                  <w:pPr>
                    <w:suppressAutoHyphens w:val="0"/>
                    <w:autoSpaceDN/>
                    <w:spacing w:line="276" w:lineRule="auto"/>
                    <w:ind w:firstLineChars="100" w:firstLine="180"/>
                    <w:textAlignment w:val="auto"/>
                    <w:rPr>
                      <w:rFonts w:ascii="Tahoma" w:hAnsi="Tahoma" w:cs="Tahoma"/>
                      <w:sz w:val="18"/>
                      <w:szCs w:val="18"/>
                    </w:rPr>
                  </w:pPr>
                  <w:r w:rsidRPr="00003067">
                    <w:rPr>
                      <w:rFonts w:ascii="Tahoma" w:hAnsi="Tahoma" w:cs="Tahoma"/>
                      <w:sz w:val="18"/>
                      <w:szCs w:val="18"/>
                    </w:rPr>
                    <w:t>--</w:t>
                  </w:r>
                </w:p>
              </w:tc>
              <w:tc>
                <w:tcPr>
                  <w:tcW w:w="620" w:type="dxa"/>
                  <w:tcBorders>
                    <w:top w:val="nil"/>
                    <w:left w:val="nil"/>
                    <w:bottom w:val="single" w:sz="4" w:space="0" w:color="FFFFFF"/>
                    <w:right w:val="single" w:sz="4" w:space="0" w:color="FFFFFF"/>
                  </w:tcBorders>
                  <w:shd w:val="clear" w:color="000000" w:fill="DA9393"/>
                  <w:hideMark/>
                </w:tcPr>
                <w:p w14:paraId="214FE2C0"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sz w:val="18"/>
                      <w:szCs w:val="18"/>
                    </w:rPr>
                    <w:t>-</w:t>
                  </w:r>
                </w:p>
              </w:tc>
              <w:tc>
                <w:tcPr>
                  <w:tcW w:w="720" w:type="dxa"/>
                  <w:tcBorders>
                    <w:top w:val="nil"/>
                    <w:left w:val="nil"/>
                    <w:bottom w:val="single" w:sz="4" w:space="0" w:color="FFFFFF"/>
                    <w:right w:val="single" w:sz="4" w:space="0" w:color="FFFFFF"/>
                  </w:tcBorders>
                  <w:shd w:val="clear" w:color="000000" w:fill="DA9393"/>
                  <w:hideMark/>
                </w:tcPr>
                <w:p w14:paraId="10BA9660"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single" w:sz="4" w:space="0" w:color="FFFFFF"/>
                  </w:tcBorders>
                  <w:shd w:val="clear" w:color="000000" w:fill="DA9393"/>
                  <w:hideMark/>
                </w:tcPr>
                <w:p w14:paraId="6127A44F"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696" w:type="dxa"/>
                  <w:tcBorders>
                    <w:top w:val="nil"/>
                    <w:left w:val="nil"/>
                    <w:bottom w:val="single" w:sz="4" w:space="0" w:color="FFFFFF"/>
                    <w:right w:val="single" w:sz="4" w:space="0" w:color="FFFFFF"/>
                  </w:tcBorders>
                  <w:shd w:val="clear" w:color="000000" w:fill="DA9393"/>
                  <w:hideMark/>
                </w:tcPr>
                <w:p w14:paraId="48D756D2"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single" w:sz="4" w:space="0" w:color="FFFFFF"/>
                  </w:tcBorders>
                  <w:shd w:val="clear" w:color="000000" w:fill="C2D69C"/>
                  <w:hideMark/>
                </w:tcPr>
                <w:p w14:paraId="082A9441" w14:textId="77777777" w:rsidR="00E66901" w:rsidRPr="00003067" w:rsidRDefault="00E66901" w:rsidP="00623BE9">
                  <w:pPr>
                    <w:suppressAutoHyphens w:val="0"/>
                    <w:autoSpaceDN/>
                    <w:spacing w:line="276" w:lineRule="auto"/>
                    <w:ind w:firstLineChars="100" w:firstLine="180"/>
                    <w:textAlignment w:val="auto"/>
                    <w:rPr>
                      <w:rFonts w:ascii="Tahoma" w:hAnsi="Tahoma" w:cs="Tahoma"/>
                      <w:sz w:val="18"/>
                      <w:szCs w:val="18"/>
                    </w:rPr>
                  </w:pPr>
                  <w:r w:rsidRPr="00003067">
                    <w:rPr>
                      <w:rFonts w:ascii="Tahoma" w:hAnsi="Tahoma" w:cs="Tahoma"/>
                      <w:sz w:val="18"/>
                      <w:szCs w:val="18"/>
                    </w:rPr>
                    <w:t>+</w:t>
                  </w:r>
                </w:p>
              </w:tc>
              <w:tc>
                <w:tcPr>
                  <w:tcW w:w="729" w:type="dxa"/>
                  <w:tcBorders>
                    <w:top w:val="nil"/>
                    <w:left w:val="nil"/>
                    <w:bottom w:val="single" w:sz="4" w:space="0" w:color="FFFFFF"/>
                    <w:right w:val="single" w:sz="4" w:space="0" w:color="FFFFFF"/>
                  </w:tcBorders>
                  <w:shd w:val="clear" w:color="000000" w:fill="DA9393"/>
                  <w:hideMark/>
                </w:tcPr>
                <w:p w14:paraId="64862C8C"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696" w:type="dxa"/>
                  <w:tcBorders>
                    <w:top w:val="nil"/>
                    <w:left w:val="nil"/>
                    <w:bottom w:val="single" w:sz="4" w:space="0" w:color="FFFFFF"/>
                    <w:right w:val="single" w:sz="4" w:space="0" w:color="FFFFFF"/>
                  </w:tcBorders>
                  <w:shd w:val="clear" w:color="000000" w:fill="DA9393"/>
                  <w:hideMark/>
                </w:tcPr>
                <w:p w14:paraId="0A67D3C6"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720" w:type="dxa"/>
                  <w:tcBorders>
                    <w:top w:val="nil"/>
                    <w:left w:val="nil"/>
                    <w:bottom w:val="single" w:sz="4" w:space="0" w:color="FFFFFF"/>
                    <w:right w:val="single" w:sz="4" w:space="0" w:color="FFFFFF"/>
                  </w:tcBorders>
                  <w:shd w:val="clear" w:color="000000" w:fill="DA9393"/>
                  <w:hideMark/>
                </w:tcPr>
                <w:p w14:paraId="4C340F65"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c>
                <w:tcPr>
                  <w:tcW w:w="620" w:type="dxa"/>
                  <w:tcBorders>
                    <w:top w:val="nil"/>
                    <w:left w:val="nil"/>
                    <w:bottom w:val="single" w:sz="4" w:space="0" w:color="FFFFFF"/>
                    <w:right w:val="single" w:sz="4" w:space="0" w:color="FFFFFF"/>
                  </w:tcBorders>
                  <w:shd w:val="clear" w:color="000000" w:fill="DB9394"/>
                  <w:hideMark/>
                </w:tcPr>
                <w:p w14:paraId="043F85F0" w14:textId="77777777" w:rsidR="00E66901" w:rsidRPr="00003067" w:rsidRDefault="00E66901" w:rsidP="00623BE9">
                  <w:pPr>
                    <w:suppressAutoHyphens w:val="0"/>
                    <w:autoSpaceDN/>
                    <w:spacing w:line="276" w:lineRule="auto"/>
                    <w:textAlignment w:val="auto"/>
                    <w:rPr>
                      <w:rFonts w:ascii="Tahoma" w:hAnsi="Tahoma" w:cs="Tahoma"/>
                      <w:sz w:val="18"/>
                      <w:szCs w:val="18"/>
                    </w:rPr>
                  </w:pPr>
                  <w:r w:rsidRPr="00003067">
                    <w:rPr>
                      <w:rFonts w:ascii="Tahoma" w:hAnsi="Tahoma" w:cs="Tahoma"/>
                      <w:sz w:val="18"/>
                      <w:szCs w:val="18"/>
                    </w:rPr>
                    <w:t>-</w:t>
                  </w:r>
                </w:p>
              </w:tc>
              <w:tc>
                <w:tcPr>
                  <w:tcW w:w="728" w:type="dxa"/>
                  <w:tcBorders>
                    <w:top w:val="nil"/>
                    <w:left w:val="nil"/>
                    <w:bottom w:val="single" w:sz="4" w:space="0" w:color="FFFFFF"/>
                    <w:right w:val="nil"/>
                  </w:tcBorders>
                  <w:shd w:val="clear" w:color="000000" w:fill="DB9394"/>
                  <w:hideMark/>
                </w:tcPr>
                <w:p w14:paraId="1401FF6A" w14:textId="77777777" w:rsidR="00E66901" w:rsidRPr="00003067" w:rsidRDefault="00E66901" w:rsidP="00623BE9">
                  <w:pPr>
                    <w:suppressAutoHyphens w:val="0"/>
                    <w:autoSpaceDN/>
                    <w:spacing w:line="276" w:lineRule="auto"/>
                    <w:ind w:firstLineChars="200" w:firstLine="360"/>
                    <w:textAlignment w:val="auto"/>
                    <w:rPr>
                      <w:rFonts w:ascii="Tahoma" w:hAnsi="Tahoma" w:cs="Tahoma"/>
                      <w:sz w:val="18"/>
                      <w:szCs w:val="18"/>
                    </w:rPr>
                  </w:pPr>
                  <w:r w:rsidRPr="00003067">
                    <w:rPr>
                      <w:rFonts w:ascii="Tahoma" w:hAnsi="Tahoma" w:cs="Tahoma"/>
                      <w:sz w:val="18"/>
                      <w:szCs w:val="18"/>
                    </w:rPr>
                    <w:t>-</w:t>
                  </w:r>
                </w:p>
              </w:tc>
            </w:tr>
          </w:tbl>
          <w:p w14:paraId="5509286B" w14:textId="5B606A2F" w:rsidR="00E66901" w:rsidRPr="00623BE9" w:rsidRDefault="00E66901" w:rsidP="00623BE9">
            <w:pPr>
              <w:spacing w:line="276" w:lineRule="auto"/>
              <w:jc w:val="both"/>
              <w:rPr>
                <w:rFonts w:ascii="Verdana" w:hAnsi="Verdana" w:cs="Arial"/>
                <w:sz w:val="18"/>
                <w:szCs w:val="18"/>
              </w:rPr>
            </w:pPr>
          </w:p>
          <w:p w14:paraId="1440F15E" w14:textId="1AB732E7" w:rsidR="001C2338" w:rsidRPr="00623BE9" w:rsidRDefault="001C2338"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In conclusion, once the proper appraisal has been applied to Site 170, it is clear that the site performs well in terms of its sustainability. The appraisal undertaken by RPS shows that the site performs particularly well in terms of economic and social-related objectives, but also is broadly neutral and / or positive against the range of environmental-related objectives as well. The broadly positive outcome in terms of the Site’s overall sustainability demonstrates that the site should be given greater consideration as a housing site allocation</w:t>
            </w:r>
            <w:r w:rsidR="00BC729E" w:rsidRPr="00623BE9">
              <w:rPr>
                <w:rFonts w:ascii="Verdana" w:hAnsi="Verdana" w:cs="Arial"/>
                <w:sz w:val="20"/>
                <w:szCs w:val="20"/>
              </w:rPr>
              <w:t xml:space="preserve"> because it can deliver the Council’s preferred spatial strategy</w:t>
            </w:r>
            <w:r w:rsidRPr="00623BE9">
              <w:rPr>
                <w:rFonts w:ascii="Verdana" w:hAnsi="Verdana" w:cs="Arial"/>
                <w:sz w:val="20"/>
                <w:szCs w:val="20"/>
              </w:rPr>
              <w:t>.</w:t>
            </w:r>
          </w:p>
          <w:p w14:paraId="1951BF40" w14:textId="77777777" w:rsidR="001C2338" w:rsidRPr="00623BE9" w:rsidRDefault="001C2338" w:rsidP="00623BE9">
            <w:pPr>
              <w:tabs>
                <w:tab w:val="num" w:pos="907"/>
              </w:tabs>
              <w:spacing w:line="276" w:lineRule="auto"/>
              <w:jc w:val="both"/>
              <w:rPr>
                <w:rFonts w:ascii="Verdana" w:hAnsi="Verdana" w:cs="Arial"/>
                <w:sz w:val="20"/>
                <w:szCs w:val="20"/>
              </w:rPr>
            </w:pPr>
          </w:p>
          <w:p w14:paraId="5DD63C5D" w14:textId="06714DDC" w:rsidR="001C2338" w:rsidRPr="00623BE9" w:rsidRDefault="001C2338" w:rsidP="00623BE9">
            <w:pPr>
              <w:tabs>
                <w:tab w:val="num" w:pos="907"/>
              </w:tabs>
              <w:spacing w:line="276" w:lineRule="auto"/>
              <w:jc w:val="both"/>
              <w:rPr>
                <w:rFonts w:ascii="Verdana" w:hAnsi="Verdana" w:cs="Arial"/>
                <w:b/>
                <w:bCs/>
                <w:sz w:val="20"/>
                <w:szCs w:val="20"/>
              </w:rPr>
            </w:pPr>
            <w:r w:rsidRPr="00623BE9">
              <w:rPr>
                <w:rFonts w:ascii="Verdana" w:hAnsi="Verdana" w:cs="Arial"/>
                <w:b/>
                <w:bCs/>
                <w:sz w:val="20"/>
                <w:szCs w:val="20"/>
              </w:rPr>
              <w:t xml:space="preserve">Reasons for </w:t>
            </w:r>
            <w:r w:rsidR="00E66CBF" w:rsidRPr="00623BE9">
              <w:rPr>
                <w:rFonts w:ascii="Verdana" w:hAnsi="Verdana" w:cs="Arial"/>
                <w:b/>
                <w:bCs/>
                <w:sz w:val="20"/>
                <w:szCs w:val="20"/>
              </w:rPr>
              <w:t>s</w:t>
            </w:r>
            <w:r w:rsidRPr="00623BE9">
              <w:rPr>
                <w:rFonts w:ascii="Verdana" w:hAnsi="Verdana" w:cs="Arial"/>
                <w:b/>
                <w:bCs/>
                <w:sz w:val="20"/>
                <w:szCs w:val="20"/>
              </w:rPr>
              <w:t xml:space="preserve">election and </w:t>
            </w:r>
            <w:r w:rsidR="00E66CBF" w:rsidRPr="00623BE9">
              <w:rPr>
                <w:rFonts w:ascii="Verdana" w:hAnsi="Verdana" w:cs="Arial"/>
                <w:b/>
                <w:bCs/>
                <w:sz w:val="20"/>
                <w:szCs w:val="20"/>
              </w:rPr>
              <w:t>r</w:t>
            </w:r>
            <w:r w:rsidRPr="00623BE9">
              <w:rPr>
                <w:rFonts w:ascii="Verdana" w:hAnsi="Verdana" w:cs="Arial"/>
                <w:b/>
                <w:bCs/>
                <w:sz w:val="20"/>
                <w:szCs w:val="20"/>
              </w:rPr>
              <w:t>ejection of Site 170</w:t>
            </w:r>
          </w:p>
          <w:p w14:paraId="6E4621E6" w14:textId="1A86E276" w:rsidR="007C739A" w:rsidRPr="00623BE9" w:rsidRDefault="007C739A"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Under the regulations and based on recent case law, a prerequisite of any robust and soundly-based sustainability appraisal process is to ensure that reasons for rejecting and selecting reasonable alternatives is presented and properly justified in the SA. </w:t>
            </w:r>
          </w:p>
          <w:p w14:paraId="7EC18A04" w14:textId="77777777" w:rsidR="007C739A" w:rsidRPr="00623BE9" w:rsidRDefault="007C739A" w:rsidP="00623BE9">
            <w:pPr>
              <w:tabs>
                <w:tab w:val="num" w:pos="907"/>
              </w:tabs>
              <w:spacing w:line="276" w:lineRule="auto"/>
              <w:jc w:val="both"/>
              <w:rPr>
                <w:rFonts w:ascii="Verdana" w:hAnsi="Verdana" w:cs="Arial"/>
                <w:sz w:val="20"/>
                <w:szCs w:val="20"/>
              </w:rPr>
            </w:pPr>
          </w:p>
          <w:p w14:paraId="23999C9A" w14:textId="77777777" w:rsidR="001B0D41" w:rsidRPr="00623BE9" w:rsidRDefault="007C739A"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The Council’s reasons for selecting and rejecting the preferred housing site allocations and reasonable alternatives is set out in Appendix H of the Reg 19 SA. The reasons for rejecting Land east of Brookhouse Lane (Site 170) is provided on page H43-44.</w:t>
            </w:r>
          </w:p>
          <w:p w14:paraId="7C2BDBA4" w14:textId="3E48C312" w:rsidR="001B0D41" w:rsidRPr="00623BE9" w:rsidRDefault="001B0D41"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Paragraph 32 of the NPPF makes clear that Local plans should be </w:t>
            </w:r>
            <w:r w:rsidRPr="00623BE9">
              <w:rPr>
                <w:rFonts w:ascii="Verdana" w:hAnsi="Verdana" w:cs="Arial"/>
                <w:sz w:val="20"/>
                <w:szCs w:val="20"/>
                <w:u w:val="single"/>
              </w:rPr>
              <w:t>informed throughout their preparation</w:t>
            </w:r>
            <w:r w:rsidRPr="00623BE9">
              <w:rPr>
                <w:rFonts w:ascii="Verdana" w:hAnsi="Verdana" w:cs="Arial"/>
                <w:sz w:val="20"/>
                <w:szCs w:val="20"/>
              </w:rPr>
              <w:t xml:space="preserve"> by a sustainability appraisal that meets the relevant legal requirements (set out in Strategic Environmental Assessment regulations. However, p</w:t>
            </w:r>
            <w:r w:rsidR="00C459CD" w:rsidRPr="00623BE9">
              <w:rPr>
                <w:rFonts w:ascii="Verdana" w:hAnsi="Verdana" w:cs="Arial"/>
                <w:sz w:val="20"/>
                <w:szCs w:val="20"/>
              </w:rPr>
              <w:t xml:space="preserve">aragraph H.2.1.1 of the Reg 19 SA states </w:t>
            </w:r>
          </w:p>
          <w:p w14:paraId="4F8D66BB" w14:textId="7EAAF1BE" w:rsidR="001B0D41" w:rsidRPr="00623BE9" w:rsidRDefault="001B0D41" w:rsidP="00623BE9">
            <w:pPr>
              <w:tabs>
                <w:tab w:val="num" w:pos="907"/>
              </w:tabs>
              <w:spacing w:line="276" w:lineRule="auto"/>
              <w:jc w:val="both"/>
              <w:rPr>
                <w:rFonts w:ascii="Verdana" w:hAnsi="Verdana" w:cs="Arial"/>
                <w:sz w:val="20"/>
                <w:szCs w:val="20"/>
              </w:rPr>
            </w:pPr>
          </w:p>
          <w:p w14:paraId="663200AE" w14:textId="77777777" w:rsidR="001B0D41" w:rsidRPr="00623BE9" w:rsidRDefault="001B0D41" w:rsidP="00623BE9">
            <w:pPr>
              <w:tabs>
                <w:tab w:val="num" w:pos="907"/>
              </w:tabs>
              <w:spacing w:line="276" w:lineRule="auto"/>
              <w:ind w:left="310"/>
              <w:jc w:val="both"/>
              <w:rPr>
                <w:rFonts w:ascii="Verdana" w:hAnsi="Verdana" w:cs="Arial"/>
                <w:i/>
                <w:iCs/>
                <w:sz w:val="20"/>
                <w:szCs w:val="20"/>
              </w:rPr>
            </w:pPr>
            <w:r w:rsidRPr="00623BE9">
              <w:rPr>
                <w:rFonts w:ascii="Verdana" w:hAnsi="Verdana" w:cs="Arial"/>
                <w:sz w:val="20"/>
                <w:szCs w:val="20"/>
              </w:rPr>
              <w:t>“</w:t>
            </w:r>
            <w:r w:rsidRPr="00623BE9">
              <w:rPr>
                <w:rFonts w:ascii="Verdana" w:hAnsi="Verdana" w:cs="Arial"/>
                <w:i/>
                <w:iCs/>
                <w:sz w:val="20"/>
                <w:szCs w:val="20"/>
              </w:rPr>
              <w:t xml:space="preserve">Table H.2.1 lists all reasonable alternative sites that have been considered as part of the SA process for residential-led use but are not preferred sites. </w:t>
            </w:r>
          </w:p>
          <w:p w14:paraId="4A480B29" w14:textId="2FF1037B" w:rsidR="001B0D41" w:rsidRPr="00623BE9" w:rsidRDefault="001B0D41" w:rsidP="00623BE9">
            <w:pPr>
              <w:tabs>
                <w:tab w:val="num" w:pos="907"/>
              </w:tabs>
              <w:spacing w:line="276" w:lineRule="auto"/>
              <w:ind w:left="310"/>
              <w:jc w:val="both"/>
              <w:rPr>
                <w:rFonts w:ascii="Verdana" w:hAnsi="Verdana" w:cs="Arial"/>
                <w:i/>
                <w:iCs/>
                <w:sz w:val="20"/>
                <w:szCs w:val="20"/>
              </w:rPr>
            </w:pPr>
            <w:r w:rsidRPr="00623BE9">
              <w:rPr>
                <w:rFonts w:ascii="Verdana" w:hAnsi="Verdana" w:cs="Arial"/>
                <w:i/>
                <w:iCs/>
                <w:sz w:val="20"/>
                <w:szCs w:val="20"/>
              </w:rPr>
              <w:t xml:space="preserve">The table sets out the reasons why these sites were not taken forward, </w:t>
            </w:r>
            <w:r w:rsidRPr="00623BE9">
              <w:rPr>
                <w:rFonts w:ascii="Verdana" w:hAnsi="Verdana" w:cs="Arial"/>
                <w:i/>
                <w:iCs/>
                <w:sz w:val="20"/>
                <w:szCs w:val="20"/>
                <w:u w:val="single"/>
              </w:rPr>
              <w:t>as decided by SSDC</w:t>
            </w:r>
            <w:r w:rsidRPr="00623BE9">
              <w:rPr>
                <w:rFonts w:ascii="Verdana" w:hAnsi="Verdana" w:cs="Arial"/>
                <w:i/>
                <w:iCs/>
                <w:sz w:val="20"/>
                <w:szCs w:val="20"/>
              </w:rPr>
              <w:t xml:space="preserve">” </w:t>
            </w:r>
            <w:r w:rsidRPr="00623BE9">
              <w:rPr>
                <w:rFonts w:ascii="Verdana" w:hAnsi="Verdana" w:cs="Arial"/>
                <w:sz w:val="20"/>
                <w:szCs w:val="20"/>
              </w:rPr>
              <w:t>(RPS emphasis)</w:t>
            </w:r>
          </w:p>
          <w:p w14:paraId="798A1171" w14:textId="77777777" w:rsidR="001B0D41" w:rsidRPr="00623BE9" w:rsidRDefault="001B0D41" w:rsidP="00623BE9">
            <w:pPr>
              <w:tabs>
                <w:tab w:val="num" w:pos="907"/>
              </w:tabs>
              <w:spacing w:line="276" w:lineRule="auto"/>
              <w:jc w:val="both"/>
              <w:rPr>
                <w:rFonts w:ascii="Verdana" w:hAnsi="Verdana" w:cs="Arial"/>
                <w:sz w:val="20"/>
                <w:szCs w:val="20"/>
              </w:rPr>
            </w:pPr>
          </w:p>
          <w:p w14:paraId="1CD67AB2" w14:textId="228400F3" w:rsidR="00E66901" w:rsidRPr="00623BE9" w:rsidRDefault="00C459CD" w:rsidP="00623BE9">
            <w:pPr>
              <w:tabs>
                <w:tab w:val="num" w:pos="907"/>
              </w:tabs>
              <w:spacing w:line="276" w:lineRule="auto"/>
              <w:jc w:val="both"/>
              <w:rPr>
                <w:rFonts w:ascii="Verdana" w:hAnsi="Verdana" w:cs="Arial"/>
                <w:sz w:val="20"/>
                <w:szCs w:val="20"/>
              </w:rPr>
            </w:pPr>
            <w:r w:rsidRPr="00623BE9">
              <w:rPr>
                <w:rFonts w:ascii="Verdana" w:hAnsi="Verdana" w:cs="Arial"/>
                <w:sz w:val="20"/>
                <w:szCs w:val="20"/>
              </w:rPr>
              <w:t xml:space="preserve">It is therefore unclear how the SA has informed the site selection process given that the reasons for why sites have been rejected have been inserted into the SA from elsewhere in the evidence base. </w:t>
            </w:r>
            <w:r w:rsidR="00FD3742" w:rsidRPr="00623BE9">
              <w:rPr>
                <w:rFonts w:ascii="Verdana" w:hAnsi="Verdana" w:cs="Arial"/>
                <w:sz w:val="20"/>
                <w:szCs w:val="20"/>
              </w:rPr>
              <w:t>This approach is therefore contrary to the approach required in national policy.</w:t>
            </w:r>
            <w:r w:rsidRPr="00623BE9">
              <w:rPr>
                <w:rFonts w:ascii="Verdana" w:hAnsi="Verdana" w:cs="Arial"/>
                <w:sz w:val="20"/>
                <w:szCs w:val="20"/>
              </w:rPr>
              <w:t xml:space="preserve">   </w:t>
            </w:r>
            <w:r w:rsidR="00321172" w:rsidRPr="00623BE9">
              <w:rPr>
                <w:rFonts w:ascii="Verdana" w:hAnsi="Verdana" w:cs="Arial"/>
                <w:sz w:val="20"/>
                <w:szCs w:val="20"/>
              </w:rPr>
              <w:t xml:space="preserve"> </w:t>
            </w:r>
            <w:r w:rsidR="007C739A" w:rsidRPr="00623BE9">
              <w:rPr>
                <w:rFonts w:ascii="Verdana" w:hAnsi="Verdana" w:cs="Arial"/>
                <w:sz w:val="20"/>
                <w:szCs w:val="20"/>
              </w:rPr>
              <w:t xml:space="preserve"> </w:t>
            </w:r>
            <w:r w:rsidR="001C2338" w:rsidRPr="00623BE9">
              <w:rPr>
                <w:rFonts w:ascii="Verdana" w:hAnsi="Verdana" w:cs="Arial"/>
                <w:sz w:val="20"/>
                <w:szCs w:val="20"/>
              </w:rPr>
              <w:t xml:space="preserve"> </w:t>
            </w:r>
          </w:p>
          <w:p w14:paraId="57594FBC" w14:textId="1854C3C7" w:rsidR="00E66901" w:rsidRPr="00623BE9" w:rsidRDefault="00E66901" w:rsidP="00623BE9">
            <w:pPr>
              <w:spacing w:line="276" w:lineRule="auto"/>
              <w:jc w:val="both"/>
              <w:rPr>
                <w:rFonts w:ascii="Verdana" w:hAnsi="Verdana" w:cs="Arial"/>
                <w:sz w:val="20"/>
                <w:szCs w:val="20"/>
              </w:rPr>
            </w:pPr>
          </w:p>
          <w:p w14:paraId="06E77307" w14:textId="0C2BAFB2" w:rsidR="00E66901" w:rsidRPr="00623BE9" w:rsidRDefault="00C459CD" w:rsidP="00623BE9">
            <w:pPr>
              <w:spacing w:line="276" w:lineRule="auto"/>
              <w:jc w:val="both"/>
              <w:rPr>
                <w:rFonts w:ascii="Verdana" w:hAnsi="Verdana" w:cs="Arial"/>
                <w:sz w:val="20"/>
                <w:szCs w:val="20"/>
              </w:rPr>
            </w:pPr>
            <w:r w:rsidRPr="00623BE9">
              <w:rPr>
                <w:rFonts w:ascii="Verdana" w:hAnsi="Verdana" w:cs="Arial"/>
                <w:sz w:val="20"/>
                <w:szCs w:val="20"/>
              </w:rPr>
              <w:t>The reasons for rejecting Site 170 set out in the Reg 19 SA is shown below.</w:t>
            </w:r>
          </w:p>
          <w:p w14:paraId="609A63D2" w14:textId="77777777" w:rsidR="00C459CD" w:rsidRPr="00623BE9" w:rsidRDefault="00C459CD" w:rsidP="00623BE9">
            <w:pPr>
              <w:spacing w:line="276" w:lineRule="auto"/>
              <w:jc w:val="both"/>
              <w:rPr>
                <w:rFonts w:ascii="Verdana" w:hAnsi="Verdana" w:cs="Arial"/>
                <w:sz w:val="20"/>
                <w:szCs w:val="20"/>
              </w:rPr>
            </w:pPr>
          </w:p>
          <w:p w14:paraId="562F319F" w14:textId="77777777" w:rsidR="00C459CD" w:rsidRPr="00623BE9" w:rsidRDefault="00C459CD" w:rsidP="00623BE9">
            <w:pPr>
              <w:spacing w:line="276" w:lineRule="auto"/>
              <w:jc w:val="both"/>
              <w:rPr>
                <w:rFonts w:ascii="Verdana" w:hAnsi="Verdana" w:cs="Arial"/>
                <w:i/>
                <w:iCs/>
                <w:sz w:val="20"/>
                <w:szCs w:val="20"/>
              </w:rPr>
            </w:pPr>
            <w:r w:rsidRPr="00623BE9">
              <w:rPr>
                <w:rFonts w:ascii="Verdana" w:hAnsi="Verdana" w:cs="Arial"/>
                <w:i/>
                <w:iCs/>
                <w:sz w:val="20"/>
                <w:szCs w:val="20"/>
              </w:rPr>
              <w:t>Key positives and negatives</w:t>
            </w:r>
          </w:p>
          <w:p w14:paraId="6B8F7979" w14:textId="77777777" w:rsidR="00C459CD" w:rsidRPr="00623BE9" w:rsidRDefault="00C459CD" w:rsidP="00623BE9">
            <w:pPr>
              <w:spacing w:line="276" w:lineRule="auto"/>
              <w:jc w:val="both"/>
              <w:rPr>
                <w:rFonts w:ascii="Verdana" w:hAnsi="Verdana" w:cs="Arial"/>
                <w:i/>
                <w:iCs/>
                <w:sz w:val="20"/>
                <w:szCs w:val="20"/>
              </w:rPr>
            </w:pPr>
            <w:r w:rsidRPr="00623BE9">
              <w:rPr>
                <w:rFonts w:ascii="Verdana" w:hAnsi="Verdana" w:cs="Arial"/>
                <w:i/>
                <w:iCs/>
                <w:sz w:val="20"/>
                <w:szCs w:val="20"/>
              </w:rPr>
              <w:t>• Lesser Green Belt harm than the majority of land around the village (site is ‘moderate’)</w:t>
            </w:r>
          </w:p>
          <w:p w14:paraId="7A34198E" w14:textId="77777777" w:rsidR="00C459CD" w:rsidRPr="00623BE9" w:rsidRDefault="00C459CD" w:rsidP="00623BE9">
            <w:pPr>
              <w:spacing w:line="276" w:lineRule="auto"/>
              <w:jc w:val="both"/>
              <w:rPr>
                <w:rFonts w:ascii="Verdana" w:hAnsi="Verdana" w:cs="Arial"/>
                <w:i/>
                <w:iCs/>
                <w:sz w:val="20"/>
                <w:szCs w:val="20"/>
              </w:rPr>
            </w:pPr>
            <w:r w:rsidRPr="00623BE9">
              <w:rPr>
                <w:rFonts w:ascii="Verdana" w:hAnsi="Verdana" w:cs="Arial"/>
                <w:i/>
                <w:iCs/>
                <w:sz w:val="20"/>
                <w:szCs w:val="20"/>
              </w:rPr>
              <w:t>• Lower landscape sensitivity than the majority of land around the village (site is ‘low-moderate’)</w:t>
            </w:r>
          </w:p>
          <w:p w14:paraId="3BC54D81" w14:textId="77777777" w:rsidR="00C459CD" w:rsidRPr="00623BE9" w:rsidRDefault="00C459CD" w:rsidP="00623BE9">
            <w:pPr>
              <w:spacing w:line="276" w:lineRule="auto"/>
              <w:jc w:val="both"/>
              <w:rPr>
                <w:rFonts w:ascii="Verdana" w:hAnsi="Verdana" w:cs="Arial"/>
                <w:i/>
                <w:iCs/>
                <w:sz w:val="20"/>
                <w:szCs w:val="20"/>
              </w:rPr>
            </w:pPr>
            <w:r w:rsidRPr="00623BE9">
              <w:rPr>
                <w:rFonts w:ascii="Verdana" w:hAnsi="Verdana" w:cs="Arial"/>
                <w:i/>
                <w:iCs/>
                <w:sz w:val="20"/>
                <w:szCs w:val="20"/>
              </w:rPr>
              <w:t>• Highways authority raise initial concerns with highways capacity in surrounding area</w:t>
            </w:r>
          </w:p>
          <w:p w14:paraId="10A5AE14" w14:textId="45E807A7" w:rsidR="00E66901" w:rsidRPr="00623BE9" w:rsidRDefault="00C459CD" w:rsidP="00623BE9">
            <w:pPr>
              <w:spacing w:line="276" w:lineRule="auto"/>
              <w:jc w:val="both"/>
              <w:rPr>
                <w:rFonts w:ascii="Verdana" w:hAnsi="Verdana" w:cs="Arial"/>
                <w:i/>
                <w:iCs/>
                <w:sz w:val="20"/>
                <w:szCs w:val="20"/>
              </w:rPr>
            </w:pPr>
            <w:r w:rsidRPr="00623BE9">
              <w:rPr>
                <w:rFonts w:ascii="Verdana" w:hAnsi="Verdana" w:cs="Arial"/>
                <w:i/>
                <w:iCs/>
                <w:sz w:val="20"/>
                <w:szCs w:val="20"/>
              </w:rPr>
              <w:t>Conclusion</w:t>
            </w:r>
          </w:p>
          <w:p w14:paraId="717A5C12" w14:textId="7E2B0689" w:rsidR="00C459CD" w:rsidRPr="00623BE9" w:rsidRDefault="00C459CD" w:rsidP="00623BE9">
            <w:pPr>
              <w:spacing w:line="276" w:lineRule="auto"/>
              <w:jc w:val="both"/>
              <w:rPr>
                <w:rFonts w:ascii="Verdana" w:hAnsi="Verdana" w:cs="Arial"/>
                <w:i/>
                <w:iCs/>
                <w:sz w:val="20"/>
                <w:szCs w:val="20"/>
              </w:rPr>
            </w:pPr>
          </w:p>
          <w:p w14:paraId="53A6BA77" w14:textId="60E6882B" w:rsidR="00C459CD" w:rsidRPr="00623BE9" w:rsidRDefault="00C459CD" w:rsidP="00623BE9">
            <w:pPr>
              <w:spacing w:line="276" w:lineRule="auto"/>
              <w:jc w:val="both"/>
              <w:rPr>
                <w:rFonts w:ascii="Verdana" w:hAnsi="Verdana" w:cs="Arial"/>
                <w:i/>
                <w:iCs/>
                <w:sz w:val="20"/>
                <w:szCs w:val="20"/>
              </w:rPr>
            </w:pPr>
            <w:r w:rsidRPr="00623BE9">
              <w:rPr>
                <w:rFonts w:ascii="Verdana" w:hAnsi="Verdana" w:cs="Arial"/>
                <w:i/>
                <w:iCs/>
                <w:sz w:val="20"/>
                <w:szCs w:val="20"/>
              </w:rPr>
              <w:t>Having regard to all site assessment factors set out in the proforma, the site is not considered to perform so well compared to other site options that it should be allocated instead of, or in addition to, SAD Site 168 and Site 397</w:t>
            </w:r>
          </w:p>
          <w:p w14:paraId="006F40A3" w14:textId="0702BC01" w:rsidR="00C459CD" w:rsidRPr="00623BE9" w:rsidRDefault="00C459CD" w:rsidP="00623BE9">
            <w:pPr>
              <w:spacing w:line="276" w:lineRule="auto"/>
              <w:jc w:val="both"/>
              <w:rPr>
                <w:rFonts w:ascii="Verdana" w:hAnsi="Verdana" w:cs="Arial"/>
                <w:sz w:val="20"/>
                <w:szCs w:val="20"/>
              </w:rPr>
            </w:pPr>
          </w:p>
          <w:p w14:paraId="45D11893" w14:textId="580B0AC9" w:rsidR="00A161A2" w:rsidRPr="00623BE9" w:rsidRDefault="00D60777" w:rsidP="00623BE9">
            <w:pPr>
              <w:spacing w:line="276" w:lineRule="auto"/>
              <w:jc w:val="both"/>
              <w:rPr>
                <w:rFonts w:ascii="Verdana" w:hAnsi="Verdana" w:cs="Arial"/>
                <w:sz w:val="20"/>
                <w:szCs w:val="20"/>
              </w:rPr>
            </w:pPr>
            <w:r w:rsidRPr="00623BE9">
              <w:rPr>
                <w:rFonts w:ascii="Verdana" w:hAnsi="Verdana" w:cs="Arial"/>
                <w:sz w:val="20"/>
                <w:szCs w:val="20"/>
              </w:rPr>
              <w:t>As highlighted in separate submissions, the first two factors are broadly positive in nature and point to Site 170 as performing comparatively better than the vast majority of other alternative potential allocation sites appraised at Featherstone.</w:t>
            </w:r>
            <w:r w:rsidR="00A161A2" w:rsidRPr="00623BE9">
              <w:rPr>
                <w:rFonts w:ascii="Verdana" w:hAnsi="Verdana" w:cs="Arial"/>
                <w:sz w:val="20"/>
                <w:szCs w:val="20"/>
              </w:rPr>
              <w:t xml:space="preserve"> </w:t>
            </w:r>
            <w:r w:rsidR="004102BA" w:rsidRPr="00623BE9">
              <w:rPr>
                <w:rFonts w:ascii="Verdana" w:hAnsi="Verdana" w:cs="Arial"/>
                <w:sz w:val="20"/>
                <w:szCs w:val="20"/>
              </w:rPr>
              <w:t xml:space="preserve">The only ‘rejection’ reason given in the Reg 19 SA, and the Housing Site Selection Topic Paper where the findings have been drawn from, relates to highway capacity concerns. As discussed in separate submissions, RPS disputes the highways concerns raised by the Council (through the County Highways Authority comments) and considers these to be overstated. This is primarily because the CHA comments on the Site ignore the recent decision that allows the construction of the M54/M6Toll/A460/M6 link, and which will significantly improve highway capacity and traffic flows in the vicinity of the Site. For the reasons set out in this and other submissions, the highways capacity concerns have not been evidenced and do not reflect the latest information. The reason for rejecting Site 170 is therefore not justified and so is not soundly-based.      </w:t>
            </w:r>
            <w:r w:rsidR="00A161A2" w:rsidRPr="00623BE9">
              <w:rPr>
                <w:rFonts w:ascii="Verdana" w:hAnsi="Verdana" w:cs="Arial"/>
                <w:sz w:val="20"/>
                <w:szCs w:val="20"/>
              </w:rPr>
              <w:t xml:space="preserve"> </w:t>
            </w:r>
          </w:p>
          <w:p w14:paraId="3DFCFAD3" w14:textId="77777777" w:rsidR="00A161A2" w:rsidRPr="00623BE9" w:rsidRDefault="00A161A2" w:rsidP="00623BE9">
            <w:pPr>
              <w:spacing w:line="276" w:lineRule="auto"/>
              <w:jc w:val="both"/>
              <w:rPr>
                <w:rFonts w:ascii="Verdana" w:hAnsi="Verdana" w:cs="Arial"/>
                <w:sz w:val="20"/>
                <w:szCs w:val="20"/>
              </w:rPr>
            </w:pPr>
          </w:p>
          <w:p w14:paraId="45659761" w14:textId="5AD7A30F" w:rsidR="00E65784" w:rsidRPr="00623BE9" w:rsidRDefault="004102BA" w:rsidP="00623BE9">
            <w:pPr>
              <w:spacing w:line="276" w:lineRule="auto"/>
              <w:jc w:val="both"/>
              <w:rPr>
                <w:rFonts w:ascii="Verdana" w:hAnsi="Verdana" w:cs="Arial"/>
                <w:sz w:val="20"/>
                <w:szCs w:val="20"/>
              </w:rPr>
            </w:pPr>
            <w:r w:rsidRPr="00623BE9">
              <w:rPr>
                <w:rFonts w:ascii="Verdana" w:hAnsi="Verdana" w:cs="Arial"/>
                <w:sz w:val="20"/>
                <w:szCs w:val="20"/>
              </w:rPr>
              <w:t xml:space="preserve">Furthermore, </w:t>
            </w:r>
            <w:r w:rsidR="00A454F7" w:rsidRPr="00623BE9">
              <w:rPr>
                <w:rFonts w:ascii="Verdana" w:hAnsi="Verdana" w:cs="Arial"/>
                <w:sz w:val="20"/>
                <w:szCs w:val="20"/>
              </w:rPr>
              <w:t>other</w:t>
            </w:r>
            <w:r w:rsidRPr="00623BE9">
              <w:rPr>
                <w:rFonts w:ascii="Verdana" w:hAnsi="Verdana" w:cs="Arial"/>
                <w:sz w:val="20"/>
                <w:szCs w:val="20"/>
              </w:rPr>
              <w:t xml:space="preserve"> factor</w:t>
            </w:r>
            <w:r w:rsidR="00A454F7" w:rsidRPr="00623BE9">
              <w:rPr>
                <w:rFonts w:ascii="Verdana" w:hAnsi="Verdana" w:cs="Arial"/>
                <w:sz w:val="20"/>
                <w:szCs w:val="20"/>
              </w:rPr>
              <w:t xml:space="preserve">s </w:t>
            </w:r>
            <w:r w:rsidRPr="00623BE9">
              <w:rPr>
                <w:rFonts w:ascii="Verdana" w:hAnsi="Verdana" w:cs="Arial"/>
                <w:sz w:val="20"/>
                <w:szCs w:val="20"/>
              </w:rPr>
              <w:t>ha</w:t>
            </w:r>
            <w:r w:rsidR="00A454F7" w:rsidRPr="00623BE9">
              <w:rPr>
                <w:rFonts w:ascii="Verdana" w:hAnsi="Verdana" w:cs="Arial"/>
                <w:sz w:val="20"/>
                <w:szCs w:val="20"/>
              </w:rPr>
              <w:t xml:space="preserve">ve </w:t>
            </w:r>
            <w:r w:rsidRPr="00623BE9">
              <w:rPr>
                <w:rFonts w:ascii="Verdana" w:hAnsi="Verdana" w:cs="Arial"/>
                <w:sz w:val="20"/>
                <w:szCs w:val="20"/>
              </w:rPr>
              <w:t xml:space="preserve">been ignored </w:t>
            </w:r>
            <w:r w:rsidR="001D3AA2" w:rsidRPr="00623BE9">
              <w:rPr>
                <w:rFonts w:ascii="Verdana" w:hAnsi="Verdana" w:cs="Arial"/>
                <w:sz w:val="20"/>
                <w:szCs w:val="20"/>
              </w:rPr>
              <w:t xml:space="preserve">by the Council </w:t>
            </w:r>
            <w:r w:rsidR="00B432AC" w:rsidRPr="00623BE9">
              <w:rPr>
                <w:rFonts w:ascii="Verdana" w:hAnsi="Verdana" w:cs="Arial"/>
                <w:sz w:val="20"/>
                <w:szCs w:val="20"/>
              </w:rPr>
              <w:t>in its rejection reasoning that nonetheless point to S</w:t>
            </w:r>
            <w:r w:rsidR="00A161A2" w:rsidRPr="00623BE9">
              <w:rPr>
                <w:rFonts w:ascii="Verdana" w:hAnsi="Verdana" w:cs="Arial"/>
                <w:sz w:val="20"/>
                <w:szCs w:val="20"/>
              </w:rPr>
              <w:t xml:space="preserve">ite </w:t>
            </w:r>
            <w:r w:rsidRPr="00623BE9">
              <w:rPr>
                <w:rFonts w:ascii="Verdana" w:hAnsi="Verdana" w:cs="Arial"/>
                <w:sz w:val="20"/>
                <w:szCs w:val="20"/>
              </w:rPr>
              <w:t xml:space="preserve">170 </w:t>
            </w:r>
            <w:r w:rsidR="00B432AC" w:rsidRPr="00623BE9">
              <w:rPr>
                <w:rFonts w:ascii="Verdana" w:hAnsi="Verdana" w:cs="Arial"/>
                <w:sz w:val="20"/>
                <w:szCs w:val="20"/>
              </w:rPr>
              <w:t xml:space="preserve">as being a </w:t>
            </w:r>
            <w:r w:rsidR="00A161A2" w:rsidRPr="00623BE9">
              <w:rPr>
                <w:rFonts w:ascii="Verdana" w:hAnsi="Verdana" w:cs="Arial"/>
                <w:sz w:val="20"/>
                <w:szCs w:val="20"/>
              </w:rPr>
              <w:t xml:space="preserve">better </w:t>
            </w:r>
            <w:r w:rsidR="00B432AC" w:rsidRPr="00623BE9">
              <w:rPr>
                <w:rFonts w:ascii="Verdana" w:hAnsi="Verdana" w:cs="Arial"/>
                <w:sz w:val="20"/>
                <w:szCs w:val="20"/>
              </w:rPr>
              <w:t xml:space="preserve">option than other preferred locations in the vicinity of the Site. Notably, </w:t>
            </w:r>
            <w:r w:rsidR="00A161A2" w:rsidRPr="00623BE9">
              <w:rPr>
                <w:rFonts w:ascii="Verdana" w:hAnsi="Verdana" w:cs="Arial"/>
                <w:sz w:val="20"/>
                <w:szCs w:val="20"/>
              </w:rPr>
              <w:t xml:space="preserve">Site 646a&amp;b (Land at Cross Green) </w:t>
            </w:r>
            <w:r w:rsidR="00B432AC" w:rsidRPr="00623BE9">
              <w:rPr>
                <w:rFonts w:ascii="Verdana" w:hAnsi="Verdana" w:cs="Arial"/>
                <w:sz w:val="20"/>
                <w:szCs w:val="20"/>
              </w:rPr>
              <w:t xml:space="preserve">performs significantly worse </w:t>
            </w:r>
            <w:r w:rsidRPr="00623BE9">
              <w:rPr>
                <w:rFonts w:ascii="Verdana" w:hAnsi="Verdana" w:cs="Arial"/>
                <w:sz w:val="20"/>
                <w:szCs w:val="20"/>
              </w:rPr>
              <w:t>in terms of Green Belt harm (which has ‘High-Very High’ harm) and also landscape impacts (‘Moderate’</w:t>
            </w:r>
            <w:r w:rsidR="001D3AA2" w:rsidRPr="00623BE9">
              <w:rPr>
                <w:rFonts w:ascii="Verdana" w:hAnsi="Verdana" w:cs="Arial"/>
                <w:sz w:val="20"/>
                <w:szCs w:val="20"/>
              </w:rPr>
              <w:t xml:space="preserve"> impact</w:t>
            </w:r>
            <w:r w:rsidRPr="00623BE9">
              <w:rPr>
                <w:rFonts w:ascii="Verdana" w:hAnsi="Verdana" w:cs="Arial"/>
                <w:sz w:val="20"/>
                <w:szCs w:val="20"/>
              </w:rPr>
              <w:t>)</w:t>
            </w:r>
            <w:r w:rsidR="00E65784" w:rsidRPr="00623BE9">
              <w:rPr>
                <w:rFonts w:ascii="Verdana" w:hAnsi="Verdana" w:cs="Arial"/>
                <w:sz w:val="20"/>
                <w:szCs w:val="20"/>
              </w:rPr>
              <w:t xml:space="preserve"> in this part of the District</w:t>
            </w:r>
            <w:r w:rsidRPr="00623BE9">
              <w:rPr>
                <w:rFonts w:ascii="Verdana" w:hAnsi="Verdana" w:cs="Arial"/>
                <w:sz w:val="20"/>
                <w:szCs w:val="20"/>
              </w:rPr>
              <w:t>.</w:t>
            </w:r>
            <w:r w:rsidR="003D5AE7" w:rsidRPr="00623BE9">
              <w:rPr>
                <w:rFonts w:ascii="Verdana" w:hAnsi="Verdana" w:cs="Arial"/>
                <w:sz w:val="20"/>
                <w:szCs w:val="20"/>
              </w:rPr>
              <w:t xml:space="preserve"> The Land at Cross Green is also located in an area at greater risk of flooding (Flood Zone 2 and 3) </w:t>
            </w:r>
            <w:r w:rsidR="00B432AC" w:rsidRPr="00623BE9">
              <w:rPr>
                <w:rFonts w:ascii="Verdana" w:hAnsi="Verdana" w:cs="Arial"/>
                <w:sz w:val="20"/>
                <w:szCs w:val="20"/>
              </w:rPr>
              <w:t xml:space="preserve">which renders the site less sequentially preferable to Site 170 </w:t>
            </w:r>
            <w:r w:rsidR="00E65784" w:rsidRPr="00623BE9">
              <w:rPr>
                <w:rFonts w:ascii="Verdana" w:hAnsi="Verdana" w:cs="Arial"/>
                <w:sz w:val="20"/>
                <w:szCs w:val="20"/>
              </w:rPr>
              <w:t>(</w:t>
            </w:r>
            <w:r w:rsidR="00B432AC" w:rsidRPr="00623BE9">
              <w:rPr>
                <w:rFonts w:ascii="Verdana" w:hAnsi="Verdana" w:cs="Arial"/>
                <w:sz w:val="20"/>
                <w:szCs w:val="20"/>
              </w:rPr>
              <w:t>which lies in Flood Zone 1</w:t>
            </w:r>
            <w:r w:rsidR="00E65784" w:rsidRPr="00623BE9">
              <w:rPr>
                <w:rFonts w:ascii="Verdana" w:hAnsi="Verdana" w:cs="Arial"/>
                <w:sz w:val="20"/>
                <w:szCs w:val="20"/>
              </w:rPr>
              <w:t>)</w:t>
            </w:r>
            <w:r w:rsidR="00B432AC" w:rsidRPr="00623BE9">
              <w:rPr>
                <w:rFonts w:ascii="Verdana" w:hAnsi="Verdana" w:cs="Arial"/>
                <w:sz w:val="20"/>
                <w:szCs w:val="20"/>
              </w:rPr>
              <w:t xml:space="preserve">. In line with national policy, development should not be allocated or permitted if there are reasonably available sites appropriate for the proposed development in areas with a lower risk of flooding (NPPF 2021, para 162). </w:t>
            </w:r>
            <w:r w:rsidR="001D3AA2" w:rsidRPr="00623BE9">
              <w:rPr>
                <w:rFonts w:ascii="Verdana" w:hAnsi="Verdana" w:cs="Arial"/>
                <w:sz w:val="20"/>
                <w:szCs w:val="20"/>
              </w:rPr>
              <w:t>Th</w:t>
            </w:r>
            <w:r w:rsidR="00B432AC" w:rsidRPr="00623BE9">
              <w:rPr>
                <w:rFonts w:ascii="Verdana" w:hAnsi="Verdana" w:cs="Arial"/>
                <w:sz w:val="20"/>
                <w:szCs w:val="20"/>
              </w:rPr>
              <w:t>e</w:t>
            </w:r>
            <w:r w:rsidR="001D3AA2" w:rsidRPr="00623BE9">
              <w:rPr>
                <w:rFonts w:ascii="Verdana" w:hAnsi="Verdana" w:cs="Arial"/>
                <w:sz w:val="20"/>
                <w:szCs w:val="20"/>
              </w:rPr>
              <w:t>s</w:t>
            </w:r>
            <w:r w:rsidR="00B432AC" w:rsidRPr="00623BE9">
              <w:rPr>
                <w:rFonts w:ascii="Verdana" w:hAnsi="Verdana" w:cs="Arial"/>
                <w:sz w:val="20"/>
                <w:szCs w:val="20"/>
              </w:rPr>
              <w:t xml:space="preserve">e factors are </w:t>
            </w:r>
            <w:r w:rsidR="001D3AA2" w:rsidRPr="00623BE9">
              <w:rPr>
                <w:rFonts w:ascii="Verdana" w:hAnsi="Verdana" w:cs="Arial"/>
                <w:sz w:val="20"/>
                <w:szCs w:val="20"/>
              </w:rPr>
              <w:t>relevant because Land at Cross Green is located close to Featherstone and</w:t>
            </w:r>
            <w:r w:rsidR="003D5AE7" w:rsidRPr="00623BE9">
              <w:rPr>
                <w:rFonts w:ascii="Verdana" w:hAnsi="Verdana" w:cs="Arial"/>
                <w:sz w:val="20"/>
                <w:szCs w:val="20"/>
              </w:rPr>
              <w:t xml:space="preserve"> is considered by the</w:t>
            </w:r>
            <w:r w:rsidR="001D3AA2" w:rsidRPr="00623BE9">
              <w:rPr>
                <w:rFonts w:ascii="Verdana" w:hAnsi="Verdana" w:cs="Arial"/>
                <w:sz w:val="20"/>
                <w:szCs w:val="20"/>
              </w:rPr>
              <w:t xml:space="preserve"> Council to be ‘more sustainable</w:t>
            </w:r>
            <w:r w:rsidR="003D5AE7" w:rsidRPr="00623BE9">
              <w:rPr>
                <w:rFonts w:ascii="Verdana" w:hAnsi="Verdana" w:cs="Arial"/>
                <w:sz w:val="20"/>
                <w:szCs w:val="20"/>
              </w:rPr>
              <w:t xml:space="preserve">’ than sites like Land </w:t>
            </w:r>
            <w:r w:rsidR="00936433" w:rsidRPr="00623BE9">
              <w:rPr>
                <w:rFonts w:ascii="Verdana" w:hAnsi="Verdana" w:cs="Arial"/>
                <w:sz w:val="20"/>
                <w:szCs w:val="20"/>
              </w:rPr>
              <w:t>east of</w:t>
            </w:r>
            <w:r w:rsidR="003D5AE7" w:rsidRPr="00623BE9">
              <w:rPr>
                <w:rFonts w:ascii="Verdana" w:hAnsi="Verdana" w:cs="Arial"/>
                <w:sz w:val="20"/>
                <w:szCs w:val="20"/>
              </w:rPr>
              <w:t xml:space="preserve"> Brookhouse Lane.</w:t>
            </w:r>
            <w:r w:rsidR="001D3AA2" w:rsidRPr="00623BE9">
              <w:rPr>
                <w:rFonts w:ascii="Verdana" w:hAnsi="Verdana" w:cs="Arial"/>
                <w:sz w:val="20"/>
                <w:szCs w:val="20"/>
              </w:rPr>
              <w:t xml:space="preserve"> </w:t>
            </w:r>
            <w:r w:rsidR="00A454F7" w:rsidRPr="00623BE9">
              <w:rPr>
                <w:rFonts w:ascii="Verdana" w:hAnsi="Verdana" w:cs="Arial"/>
                <w:sz w:val="20"/>
                <w:szCs w:val="20"/>
              </w:rPr>
              <w:t>Nonetheless, both sites offer an opportunity to meet local needs as well as opportunities to assist in meeting the needs of the wider HMA, notably the Black Country.</w:t>
            </w:r>
            <w:r w:rsidR="00B432AC" w:rsidRPr="00623BE9">
              <w:rPr>
                <w:rFonts w:ascii="Verdana" w:hAnsi="Verdana" w:cs="Arial"/>
                <w:sz w:val="20"/>
                <w:szCs w:val="20"/>
              </w:rPr>
              <w:t xml:space="preserve"> </w:t>
            </w:r>
          </w:p>
          <w:p w14:paraId="2D351CF2" w14:textId="77777777" w:rsidR="00E65784" w:rsidRPr="00623BE9" w:rsidRDefault="00E65784" w:rsidP="00623BE9">
            <w:pPr>
              <w:spacing w:line="276" w:lineRule="auto"/>
              <w:jc w:val="both"/>
              <w:rPr>
                <w:rFonts w:ascii="Verdana" w:hAnsi="Verdana" w:cs="Arial"/>
                <w:sz w:val="20"/>
                <w:szCs w:val="20"/>
              </w:rPr>
            </w:pPr>
          </w:p>
          <w:p w14:paraId="0F8E1111" w14:textId="0A6CE257" w:rsidR="00B432AC" w:rsidRPr="00623BE9" w:rsidRDefault="00B432AC" w:rsidP="00623BE9">
            <w:pPr>
              <w:spacing w:line="276" w:lineRule="auto"/>
              <w:jc w:val="both"/>
              <w:rPr>
                <w:rFonts w:ascii="Verdana" w:hAnsi="Verdana" w:cs="Arial"/>
                <w:sz w:val="18"/>
                <w:szCs w:val="18"/>
              </w:rPr>
            </w:pPr>
            <w:r w:rsidRPr="00623BE9">
              <w:rPr>
                <w:rFonts w:ascii="Verdana" w:hAnsi="Verdana" w:cs="Arial"/>
                <w:sz w:val="20"/>
                <w:szCs w:val="20"/>
              </w:rPr>
              <w:t>On the basis of this analysis, Site 170 does perform well in comparison to the closest preferred sites when considered as a whole.</w:t>
            </w:r>
            <w:r w:rsidR="00E65784" w:rsidRPr="00623BE9">
              <w:rPr>
                <w:rFonts w:ascii="Verdana" w:hAnsi="Verdana" w:cs="Arial"/>
                <w:sz w:val="20"/>
                <w:szCs w:val="20"/>
              </w:rPr>
              <w:t xml:space="preserve"> Similarly, RPS has raised wider concerns raised regarding Land at Cross Green, in particular the extent to which whether development in that location will be addressing the needs of the Black Country. In this context,  there are clear merits in allocating the Land </w:t>
            </w:r>
            <w:r w:rsidR="00936433" w:rsidRPr="00623BE9">
              <w:rPr>
                <w:rFonts w:ascii="Verdana" w:hAnsi="Verdana" w:cs="Arial"/>
                <w:sz w:val="20"/>
                <w:szCs w:val="20"/>
              </w:rPr>
              <w:t>east of</w:t>
            </w:r>
            <w:r w:rsidR="00E65784" w:rsidRPr="00623BE9">
              <w:rPr>
                <w:rFonts w:ascii="Verdana" w:hAnsi="Verdana" w:cs="Arial"/>
                <w:sz w:val="20"/>
                <w:szCs w:val="20"/>
              </w:rPr>
              <w:t xml:space="preserve"> Brookhouse Lane which is in a prime </w:t>
            </w:r>
            <w:r w:rsidR="00E66CBF" w:rsidRPr="00623BE9">
              <w:rPr>
                <w:rFonts w:ascii="Verdana" w:hAnsi="Verdana" w:cs="Arial"/>
                <w:sz w:val="20"/>
                <w:szCs w:val="20"/>
              </w:rPr>
              <w:t>position</w:t>
            </w:r>
            <w:r w:rsidR="00E65784" w:rsidRPr="00623BE9">
              <w:rPr>
                <w:rFonts w:ascii="Verdana" w:hAnsi="Verdana" w:cs="Arial"/>
                <w:sz w:val="20"/>
                <w:szCs w:val="20"/>
              </w:rPr>
              <w:t xml:space="preserve"> to help address these </w:t>
            </w:r>
            <w:r w:rsidR="00936433" w:rsidRPr="00623BE9">
              <w:rPr>
                <w:rFonts w:ascii="Verdana" w:hAnsi="Verdana" w:cs="Arial"/>
                <w:sz w:val="20"/>
                <w:szCs w:val="20"/>
              </w:rPr>
              <w:t xml:space="preserve">wider </w:t>
            </w:r>
            <w:r w:rsidR="00E65784" w:rsidRPr="00623BE9">
              <w:rPr>
                <w:rFonts w:ascii="Verdana" w:hAnsi="Verdana" w:cs="Arial"/>
                <w:sz w:val="20"/>
                <w:szCs w:val="20"/>
              </w:rPr>
              <w:t xml:space="preserve">needs and which </w:t>
            </w:r>
            <w:r w:rsidR="00E66CBF" w:rsidRPr="00623BE9">
              <w:rPr>
                <w:rFonts w:ascii="Verdana" w:hAnsi="Verdana" w:cs="Arial"/>
                <w:sz w:val="20"/>
                <w:szCs w:val="20"/>
              </w:rPr>
              <w:t>can deliver housing in a sustainable location in line with the preferred spatial strategy.</w:t>
            </w:r>
            <w:r w:rsidR="00E66CBF" w:rsidRPr="00623BE9">
              <w:rPr>
                <w:rFonts w:ascii="Verdana" w:hAnsi="Verdana" w:cs="Arial"/>
                <w:sz w:val="18"/>
                <w:szCs w:val="18"/>
              </w:rPr>
              <w:t xml:space="preserve"> </w:t>
            </w:r>
            <w:r w:rsidR="00623BE9" w:rsidRPr="00623BE9">
              <w:rPr>
                <w:rFonts w:ascii="Verdana" w:hAnsi="Verdana" w:cs="Arial"/>
                <w:sz w:val="20"/>
                <w:szCs w:val="20"/>
              </w:rPr>
              <w:t xml:space="preserve">RPS therefore does not consider the reasoning for </w:t>
            </w:r>
            <w:r w:rsidR="00623BE9">
              <w:rPr>
                <w:rFonts w:ascii="Verdana" w:hAnsi="Verdana" w:cs="Arial"/>
                <w:sz w:val="20"/>
                <w:szCs w:val="20"/>
              </w:rPr>
              <w:t xml:space="preserve">excluding </w:t>
            </w:r>
            <w:r w:rsidR="00623BE9" w:rsidRPr="00623BE9">
              <w:rPr>
                <w:rFonts w:ascii="Verdana" w:hAnsi="Verdana" w:cs="Arial"/>
                <w:sz w:val="20"/>
                <w:szCs w:val="20"/>
              </w:rPr>
              <w:t xml:space="preserve">Site 170 to be </w:t>
            </w:r>
            <w:r w:rsidR="00623BE9">
              <w:rPr>
                <w:rFonts w:ascii="Verdana" w:hAnsi="Verdana" w:cs="Arial"/>
                <w:sz w:val="20"/>
                <w:szCs w:val="20"/>
              </w:rPr>
              <w:t xml:space="preserve">soundly-based (not </w:t>
            </w:r>
            <w:r w:rsidR="00623BE9" w:rsidRPr="00623BE9">
              <w:rPr>
                <w:rFonts w:ascii="Verdana" w:hAnsi="Verdana" w:cs="Arial"/>
                <w:sz w:val="20"/>
                <w:szCs w:val="20"/>
              </w:rPr>
              <w:t>justified</w:t>
            </w:r>
            <w:r w:rsidR="00623BE9">
              <w:rPr>
                <w:rFonts w:ascii="Verdana" w:hAnsi="Verdana" w:cs="Arial"/>
                <w:sz w:val="20"/>
                <w:szCs w:val="20"/>
              </w:rPr>
              <w:t>)</w:t>
            </w:r>
            <w:r w:rsidR="00623BE9" w:rsidRPr="00623BE9">
              <w:rPr>
                <w:rFonts w:ascii="Verdana" w:hAnsi="Verdana" w:cs="Arial"/>
                <w:sz w:val="20"/>
                <w:szCs w:val="20"/>
              </w:rPr>
              <w:t>.</w:t>
            </w:r>
          </w:p>
          <w:p w14:paraId="59D53B17" w14:textId="6448D2CC" w:rsidR="00F20510" w:rsidRPr="00623BE9" w:rsidRDefault="00F20510" w:rsidP="00623BE9">
            <w:pPr>
              <w:spacing w:line="276" w:lineRule="auto"/>
              <w:jc w:val="both"/>
              <w:rPr>
                <w:rFonts w:ascii="Verdana" w:hAnsi="Verdana" w:cs="Arial"/>
                <w:sz w:val="18"/>
                <w:szCs w:val="18"/>
              </w:rPr>
            </w:pPr>
          </w:p>
          <w:p w14:paraId="322DDDB3" w14:textId="77777777" w:rsidR="00AE2F13" w:rsidRPr="00623BE9" w:rsidRDefault="00AE2F13" w:rsidP="00623BE9">
            <w:pPr>
              <w:spacing w:line="276" w:lineRule="auto"/>
              <w:jc w:val="both"/>
              <w:rPr>
                <w:rFonts w:ascii="Verdana" w:hAnsi="Verdana" w:cs="Arial"/>
                <w:sz w:val="18"/>
                <w:szCs w:val="18"/>
              </w:rPr>
            </w:pPr>
          </w:p>
          <w:p w14:paraId="249ED9FF" w14:textId="77777777" w:rsidR="00AE2F13" w:rsidRPr="00623BE9" w:rsidRDefault="00AE2F13" w:rsidP="00623BE9">
            <w:pPr>
              <w:spacing w:line="276" w:lineRule="auto"/>
              <w:jc w:val="both"/>
              <w:rPr>
                <w:rFonts w:ascii="Verdana" w:hAnsi="Verdana" w:cs="Arial"/>
                <w:sz w:val="18"/>
                <w:szCs w:val="18"/>
              </w:rPr>
            </w:pPr>
            <w:r w:rsidRPr="00623BE9">
              <w:rPr>
                <w:rFonts w:ascii="Verdana" w:hAnsi="Verdana" w:cs="Arial"/>
                <w:sz w:val="18"/>
                <w:szCs w:val="18"/>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7A789ED9" w14:textId="1E9FEC46" w:rsidR="00AE2F13" w:rsidRDefault="00AE2F13" w:rsidP="00644675">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35A8AC18" w14:textId="2E27D633" w:rsidR="00AE2F13" w:rsidRPr="001223F8" w:rsidRDefault="008D75B8" w:rsidP="00623BE9">
            <w:pPr>
              <w:spacing w:line="276" w:lineRule="auto"/>
              <w:jc w:val="both"/>
              <w:rPr>
                <w:rFonts w:ascii="Verdana" w:hAnsi="Verdana" w:cs="Arial"/>
                <w:sz w:val="20"/>
                <w:szCs w:val="20"/>
              </w:rPr>
            </w:pPr>
            <w:r>
              <w:rPr>
                <w:rFonts w:ascii="Verdana" w:hAnsi="Verdana" w:cs="Arial"/>
                <w:sz w:val="20"/>
                <w:szCs w:val="20"/>
              </w:rPr>
              <w:t>Update the sustainability appraisal for site 170 in response to the factors identified above, and a</w:t>
            </w:r>
            <w:r w:rsidR="00936433" w:rsidRPr="001223F8">
              <w:rPr>
                <w:rFonts w:ascii="Verdana" w:hAnsi="Verdana" w:cs="Arial"/>
                <w:sz w:val="20"/>
                <w:szCs w:val="20"/>
              </w:rPr>
              <w:t>llocate Site 170 (Land east of Brookhouse Lane) for housing in the South Staffordshire Local Plan.</w:t>
            </w:r>
          </w:p>
          <w:p w14:paraId="22DEF707" w14:textId="77777777" w:rsidR="00AE2F13" w:rsidRPr="001223F8" w:rsidRDefault="00AE2F13" w:rsidP="00644675">
            <w:pPr>
              <w:rPr>
                <w:rFonts w:ascii="Verdana" w:hAnsi="Verdana" w:cs="Arial"/>
                <w:sz w:val="20"/>
                <w:szCs w:val="20"/>
              </w:rPr>
            </w:pPr>
          </w:p>
          <w:p w14:paraId="5EB78701"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0A6FA2AE" w:rsidR="00AE2F13" w:rsidRDefault="00AE2F13" w:rsidP="00644675">
            <w:pPr>
              <w:rPr>
                <w:rFonts w:ascii="Verdana" w:hAnsi="Verdana" w:cs="Arial"/>
                <w:sz w:val="16"/>
                <w:szCs w:val="16"/>
              </w:rPr>
            </w:pPr>
          </w:p>
          <w:p w14:paraId="77C09106" w14:textId="31888CA4" w:rsidR="00E30A9E" w:rsidRDefault="00E30A9E" w:rsidP="00644675">
            <w:pPr>
              <w:rPr>
                <w:rFonts w:ascii="Verdana" w:hAnsi="Verdana" w:cs="Arial"/>
                <w:sz w:val="16"/>
                <w:szCs w:val="16"/>
              </w:rPr>
            </w:pPr>
          </w:p>
          <w:p w14:paraId="5E8833FC" w14:textId="2A3F4488" w:rsidR="00E30A9E" w:rsidRDefault="00E30A9E" w:rsidP="00644675">
            <w:pPr>
              <w:rPr>
                <w:rFonts w:ascii="Verdana" w:hAnsi="Verdana" w:cs="Arial"/>
                <w:sz w:val="16"/>
                <w:szCs w:val="16"/>
              </w:rPr>
            </w:pPr>
          </w:p>
          <w:p w14:paraId="5834E428" w14:textId="0021A8B4" w:rsidR="00E30A9E" w:rsidRDefault="00E30A9E" w:rsidP="00644675">
            <w:pPr>
              <w:rPr>
                <w:rFonts w:ascii="Verdana" w:hAnsi="Verdana" w:cs="Arial"/>
                <w:sz w:val="16"/>
                <w:szCs w:val="16"/>
              </w:rPr>
            </w:pPr>
          </w:p>
          <w:p w14:paraId="2651B086" w14:textId="77777777" w:rsidR="00E30A9E" w:rsidRDefault="00E30A9E" w:rsidP="00644675">
            <w:pPr>
              <w:rPr>
                <w:rFonts w:ascii="Verdana" w:hAnsi="Verdana" w:cs="Arial"/>
                <w:sz w:val="16"/>
                <w:szCs w:val="16"/>
              </w:rPr>
            </w:pPr>
          </w:p>
          <w:p w14:paraId="6DE055A9" w14:textId="77777777" w:rsidR="00AE2F13" w:rsidRDefault="00AE2F13" w:rsidP="00644675">
            <w:pPr>
              <w:rPr>
                <w:rFonts w:ascii="Verdana" w:hAnsi="Verdana" w:cs="Arial"/>
                <w:sz w:val="16"/>
                <w:szCs w:val="16"/>
              </w:rPr>
            </w:pPr>
          </w:p>
          <w:p w14:paraId="52433472" w14:textId="77777777" w:rsidR="00AE2F13" w:rsidRDefault="00AE2F13" w:rsidP="00644675">
            <w:pPr>
              <w:rPr>
                <w:rFonts w:ascii="Verdana" w:hAnsi="Verdana" w:cs="Arial"/>
                <w:sz w:val="16"/>
                <w:szCs w:val="16"/>
              </w:rPr>
            </w:pPr>
          </w:p>
          <w:p w14:paraId="773FE396"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0FC4CDAD" w:rsidR="00AE2F13" w:rsidRDefault="0028774A" w:rsidP="00644675">
            <w:pPr>
              <w:rPr>
                <w:rFonts w:ascii="Verdana" w:hAnsi="Verdana" w:cs="Arial"/>
                <w:sz w:val="20"/>
              </w:rPr>
            </w:pPr>
            <w:r>
              <w:rPr>
                <w:rFonts w:ascii="Verdana" w:hAnsi="Verdana" w:cs="Arial"/>
                <w:sz w:val="20"/>
              </w:rPr>
              <w:t>Yes</w:t>
            </w: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36433">
        <w:trPr>
          <w:gridBefore w:val="1"/>
          <w:wBefore w:w="204" w:type="dxa"/>
          <w:cantSplit/>
          <w:trHeight w:val="2222"/>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1F40E92" w14:textId="63A3B367" w:rsidR="00AE2F13" w:rsidRDefault="0028774A" w:rsidP="00644675">
            <w:pPr>
              <w:rPr>
                <w:rFonts w:ascii="Verdana" w:hAnsi="Verdana" w:cs="Arial"/>
                <w:sz w:val="20"/>
              </w:rPr>
            </w:pPr>
            <w:r w:rsidRPr="0028774A">
              <w:rPr>
                <w:rFonts w:ascii="Verdana" w:hAnsi="Verdana" w:cs="Arial"/>
                <w:sz w:val="20"/>
              </w:rPr>
              <w:t xml:space="preserve">RPS has raised specific issues and concerns through this representation that goes to the soundness of the SWDP and it is essential these concerns and the councils evidence is fully tested.  </w:t>
            </w: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3A6CFE13" w14:textId="77777777" w:rsidR="00AE2F13" w:rsidRDefault="00AE2F13" w:rsidP="00644675">
            <w:pPr>
              <w:rPr>
                <w:rFonts w:ascii="Verdana" w:hAnsi="Verdana" w:cs="Arial"/>
                <w:sz w:val="20"/>
              </w:rPr>
            </w:pPr>
          </w:p>
          <w:p w14:paraId="025BDFDF" w14:textId="77777777" w:rsidR="00AE2F13" w:rsidRDefault="00AE2F13" w:rsidP="00644675">
            <w:pPr>
              <w:rPr>
                <w:rFonts w:ascii="Verdana" w:hAnsi="Verdana" w:cs="Arial"/>
                <w:sz w:val="20"/>
              </w:rPr>
            </w:pPr>
          </w:p>
          <w:p w14:paraId="19A80DA2" w14:textId="77777777" w:rsidR="00AE2F13" w:rsidRDefault="00AE2F13"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9" w:history="1">
        <w:r w:rsidRPr="008C307D">
          <w:rPr>
            <w:rStyle w:val="Hyperlink"/>
            <w:rFonts w:ascii="Verdana" w:hAnsi="Verdana"/>
            <w:sz w:val="20"/>
            <w:szCs w:val="20"/>
          </w:rPr>
          <w:t>https://www.sstaffs.gov.uk/planning/strategic-planning--data-protection.cfm</w:t>
        </w:r>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10"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Codsall, South Staffordshire WV8 1PX</w:t>
      </w:r>
    </w:p>
    <w:sectPr w:rsidR="008C307D" w:rsidRPr="008C307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 w:id="1">
    <w:p w14:paraId="6F65A9CC" w14:textId="77777777" w:rsidR="00327259" w:rsidRPr="00756244" w:rsidRDefault="00327259" w:rsidP="00327259">
      <w:pPr>
        <w:pStyle w:val="FootnoteText"/>
        <w:rPr>
          <w:rFonts w:ascii="Verdana" w:hAnsi="Verdana"/>
        </w:rPr>
      </w:pPr>
      <w:r w:rsidRPr="00756244">
        <w:rPr>
          <w:rStyle w:val="FootnoteReference"/>
          <w:rFonts w:ascii="Verdana" w:hAnsi="Verdana"/>
        </w:rPr>
        <w:footnoteRef/>
      </w:r>
      <w:r w:rsidRPr="00756244">
        <w:rPr>
          <w:rFonts w:ascii="Verdana" w:hAnsi="Verdana"/>
        </w:rPr>
        <w:t xml:space="preserve"> </w:t>
      </w:r>
      <w:r w:rsidRPr="008D75B8">
        <w:rPr>
          <w:rFonts w:ascii="Verdana" w:hAnsi="Verdana"/>
          <w:i/>
          <w:iCs/>
          <w:sz w:val="16"/>
          <w:szCs w:val="16"/>
        </w:rPr>
        <w:t>Guide to assessing development proposals on agricultural land</w:t>
      </w:r>
      <w:r w:rsidRPr="008D75B8">
        <w:rPr>
          <w:rFonts w:ascii="Verdana" w:hAnsi="Verdana"/>
          <w:sz w:val="16"/>
          <w:szCs w:val="16"/>
        </w:rPr>
        <w:t>, Natural England, Updated 5 February 2021, section 4</w:t>
      </w:r>
    </w:p>
  </w:footnote>
  <w:footnote w:id="2">
    <w:p w14:paraId="057576E1" w14:textId="77777777" w:rsidR="00756244" w:rsidRPr="008D75B8" w:rsidRDefault="00756244" w:rsidP="00756244">
      <w:pPr>
        <w:pStyle w:val="FootnoteText"/>
        <w:rPr>
          <w:rFonts w:ascii="Verdana" w:hAnsi="Verdana"/>
          <w:sz w:val="16"/>
          <w:szCs w:val="16"/>
        </w:rPr>
      </w:pPr>
      <w:r w:rsidRPr="00756244">
        <w:rPr>
          <w:rStyle w:val="FootnoteReference"/>
          <w:rFonts w:ascii="Verdana" w:hAnsi="Verdana"/>
        </w:rPr>
        <w:footnoteRef/>
      </w:r>
      <w:r w:rsidRPr="00756244">
        <w:rPr>
          <w:rFonts w:ascii="Verdana" w:hAnsi="Verdana"/>
        </w:rPr>
        <w:t xml:space="preserve"> </w:t>
      </w:r>
      <w:r w:rsidRPr="008D75B8">
        <w:rPr>
          <w:rFonts w:ascii="Verdana" w:hAnsi="Verdana"/>
          <w:sz w:val="16"/>
          <w:szCs w:val="16"/>
        </w:rPr>
        <w:t xml:space="preserve">Department of Education, </w:t>
      </w:r>
      <w:r w:rsidRPr="008D75B8">
        <w:rPr>
          <w:rFonts w:ascii="Verdana" w:hAnsi="Verdana"/>
          <w:i/>
          <w:iCs/>
          <w:sz w:val="16"/>
          <w:szCs w:val="16"/>
        </w:rPr>
        <w:t>Home to school travel and transport guidance Statutory guidance for local authorities</w:t>
      </w:r>
      <w:r w:rsidRPr="008D75B8">
        <w:rPr>
          <w:rFonts w:ascii="Verdana" w:hAnsi="Verdana"/>
          <w:sz w:val="16"/>
          <w:szCs w:val="16"/>
        </w:rPr>
        <w:t xml:space="preserve"> July 2014</w:t>
      </w:r>
    </w:p>
  </w:footnote>
  <w:footnote w:id="3">
    <w:p w14:paraId="065E3D3B" w14:textId="77777777" w:rsidR="00756244" w:rsidRPr="008D75B8" w:rsidRDefault="00756244" w:rsidP="00756244">
      <w:pPr>
        <w:pStyle w:val="FootnoteText"/>
        <w:rPr>
          <w:rFonts w:ascii="Verdana" w:hAnsi="Verdana"/>
          <w:sz w:val="16"/>
          <w:szCs w:val="16"/>
        </w:rPr>
      </w:pPr>
      <w:r w:rsidRPr="008D75B8">
        <w:rPr>
          <w:rStyle w:val="FootnoteReference"/>
          <w:rFonts w:ascii="Verdana" w:hAnsi="Verdana"/>
          <w:sz w:val="16"/>
          <w:szCs w:val="16"/>
        </w:rPr>
        <w:footnoteRef/>
      </w:r>
      <w:r w:rsidRPr="008D75B8">
        <w:rPr>
          <w:rFonts w:ascii="Verdana" w:hAnsi="Verdana"/>
          <w:sz w:val="16"/>
          <w:szCs w:val="16"/>
        </w:rPr>
        <w:t xml:space="preserve"> Staffordshire County Council </w:t>
      </w:r>
      <w:r w:rsidRPr="008D75B8">
        <w:rPr>
          <w:rFonts w:ascii="Verdana" w:hAnsi="Verdana"/>
          <w:i/>
          <w:iCs/>
          <w:sz w:val="16"/>
          <w:szCs w:val="16"/>
        </w:rPr>
        <w:t>Home to School/College Travel Policy and Guidance</w:t>
      </w:r>
      <w:r w:rsidRPr="008D75B8">
        <w:rPr>
          <w:rFonts w:ascii="Verdana" w:hAnsi="Verdana"/>
          <w:sz w:val="16"/>
          <w:szCs w:val="16"/>
        </w:rPr>
        <w:t xml:space="preserve"> Updated June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05598"/>
    <w:multiLevelType w:val="hybridMultilevel"/>
    <w:tmpl w:val="61B4D248"/>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 w15:restartNumberingAfterBreak="0">
    <w:nsid w:val="5DB06B3E"/>
    <w:multiLevelType w:val="hybridMultilevel"/>
    <w:tmpl w:val="0B1EF9F8"/>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num w:numId="1" w16cid:durableId="1115254435">
    <w:abstractNumId w:val="1"/>
  </w:num>
  <w:num w:numId="2" w16cid:durableId="69372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03067"/>
    <w:rsid w:val="0008110A"/>
    <w:rsid w:val="000C7467"/>
    <w:rsid w:val="001059B6"/>
    <w:rsid w:val="001223F8"/>
    <w:rsid w:val="00167019"/>
    <w:rsid w:val="00187168"/>
    <w:rsid w:val="001B0D41"/>
    <w:rsid w:val="001B4D95"/>
    <w:rsid w:val="001C2338"/>
    <w:rsid w:val="001C6CB4"/>
    <w:rsid w:val="001D3AA2"/>
    <w:rsid w:val="0028774A"/>
    <w:rsid w:val="002D1AA4"/>
    <w:rsid w:val="00321172"/>
    <w:rsid w:val="00327259"/>
    <w:rsid w:val="003409B7"/>
    <w:rsid w:val="0034447A"/>
    <w:rsid w:val="00381CAA"/>
    <w:rsid w:val="003D5AE7"/>
    <w:rsid w:val="004102BA"/>
    <w:rsid w:val="005073CE"/>
    <w:rsid w:val="005243F8"/>
    <w:rsid w:val="005D0E5D"/>
    <w:rsid w:val="00623BE9"/>
    <w:rsid w:val="0065244A"/>
    <w:rsid w:val="006E4EE9"/>
    <w:rsid w:val="0071129F"/>
    <w:rsid w:val="00713751"/>
    <w:rsid w:val="00751967"/>
    <w:rsid w:val="00756244"/>
    <w:rsid w:val="007C739A"/>
    <w:rsid w:val="008142C6"/>
    <w:rsid w:val="008C307D"/>
    <w:rsid w:val="008D75B8"/>
    <w:rsid w:val="009107B9"/>
    <w:rsid w:val="00936433"/>
    <w:rsid w:val="00A161A2"/>
    <w:rsid w:val="00A454F7"/>
    <w:rsid w:val="00A951E1"/>
    <w:rsid w:val="00AB7141"/>
    <w:rsid w:val="00AC381D"/>
    <w:rsid w:val="00AE2F13"/>
    <w:rsid w:val="00B432AC"/>
    <w:rsid w:val="00B54FE7"/>
    <w:rsid w:val="00BC729E"/>
    <w:rsid w:val="00BD4DD4"/>
    <w:rsid w:val="00C459CD"/>
    <w:rsid w:val="00C6343F"/>
    <w:rsid w:val="00C96CB2"/>
    <w:rsid w:val="00D43844"/>
    <w:rsid w:val="00D60777"/>
    <w:rsid w:val="00E15E93"/>
    <w:rsid w:val="00E30A9E"/>
    <w:rsid w:val="00E65784"/>
    <w:rsid w:val="00E66901"/>
    <w:rsid w:val="00E66CBF"/>
    <w:rsid w:val="00EE7031"/>
    <w:rsid w:val="00F20510"/>
    <w:rsid w:val="00F3197C"/>
    <w:rsid w:val="00FD3742"/>
    <w:rsid w:val="00FE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4">
    <w:name w:val="heading 4"/>
    <w:basedOn w:val="Normal"/>
    <w:next w:val="Normal"/>
    <w:link w:val="Heading4Char"/>
    <w:uiPriority w:val="9"/>
    <w:semiHidden/>
    <w:unhideWhenUsed/>
    <w:qFormat/>
    <w:rsid w:val="00E6690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09B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 w:type="paragraph" w:styleId="Caption">
    <w:name w:val="caption"/>
    <w:basedOn w:val="BodyText"/>
    <w:next w:val="BodyText"/>
    <w:uiPriority w:val="4"/>
    <w:rsid w:val="005D0E5D"/>
    <w:pPr>
      <w:tabs>
        <w:tab w:val="left" w:pos="1134"/>
      </w:tabs>
      <w:suppressAutoHyphens w:val="0"/>
      <w:autoSpaceDN/>
      <w:spacing w:before="120" w:after="120" w:line="210" w:lineRule="atLeast"/>
      <w:ind w:left="1138" w:hanging="1138"/>
      <w:jc w:val="left"/>
      <w:textAlignment w:val="auto"/>
    </w:pPr>
    <w:rPr>
      <w:rFonts w:ascii="Arial" w:eastAsiaTheme="minorHAnsi" w:hAnsi="Arial" w:cs="Verdana"/>
      <w:b/>
      <w:bCs/>
      <w:sz w:val="18"/>
      <w:lang w:eastAsia="en-US"/>
    </w:rPr>
  </w:style>
  <w:style w:type="character" w:customStyle="1" w:styleId="Heading5Char">
    <w:name w:val="Heading 5 Char"/>
    <w:basedOn w:val="DefaultParagraphFont"/>
    <w:link w:val="Heading5"/>
    <w:uiPriority w:val="9"/>
    <w:semiHidden/>
    <w:rsid w:val="003409B7"/>
    <w:rPr>
      <w:rFonts w:asciiTheme="majorHAnsi" w:eastAsiaTheme="majorEastAsia" w:hAnsiTheme="majorHAnsi" w:cstheme="majorBidi"/>
      <w:color w:val="2F5496" w:themeColor="accent1" w:themeShade="BF"/>
      <w:sz w:val="24"/>
      <w:szCs w:val="24"/>
      <w:lang w:eastAsia="en-GB"/>
    </w:rPr>
  </w:style>
  <w:style w:type="paragraph" w:styleId="FootnoteText">
    <w:name w:val="footnote text"/>
    <w:basedOn w:val="Normal"/>
    <w:link w:val="FootnoteTextChar"/>
    <w:uiPriority w:val="99"/>
    <w:semiHidden/>
    <w:unhideWhenUsed/>
    <w:rsid w:val="00327259"/>
    <w:rPr>
      <w:sz w:val="20"/>
      <w:szCs w:val="20"/>
    </w:rPr>
  </w:style>
  <w:style w:type="character" w:customStyle="1" w:styleId="FootnoteTextChar">
    <w:name w:val="Footnote Text Char"/>
    <w:basedOn w:val="DefaultParagraphFont"/>
    <w:link w:val="FootnoteText"/>
    <w:uiPriority w:val="99"/>
    <w:semiHidden/>
    <w:rsid w:val="0032725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21"/>
    <w:semiHidden/>
    <w:rsid w:val="00327259"/>
    <w:rPr>
      <w:vertAlign w:val="superscript"/>
      <w:lang w:val="en-GB"/>
    </w:rPr>
  </w:style>
  <w:style w:type="character" w:customStyle="1" w:styleId="Heading4Char">
    <w:name w:val="Heading 4 Char"/>
    <w:basedOn w:val="DefaultParagraphFont"/>
    <w:link w:val="Heading4"/>
    <w:uiPriority w:val="9"/>
    <w:semiHidden/>
    <w:rsid w:val="00E66901"/>
    <w:rPr>
      <w:rFonts w:asciiTheme="majorHAnsi" w:eastAsiaTheme="majorEastAsia" w:hAnsiTheme="majorHAnsi" w:cstheme="majorBidi"/>
      <w:i/>
      <w:iCs/>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59858">
      <w:bodyDiv w:val="1"/>
      <w:marLeft w:val="0"/>
      <w:marRight w:val="0"/>
      <w:marTop w:val="0"/>
      <w:marBottom w:val="0"/>
      <w:divBdr>
        <w:top w:val="none" w:sz="0" w:space="0" w:color="auto"/>
        <w:left w:val="none" w:sz="0" w:space="0" w:color="auto"/>
        <w:bottom w:val="none" w:sz="0" w:space="0" w:color="auto"/>
        <w:right w:val="none" w:sz="0" w:space="0" w:color="auto"/>
      </w:divBdr>
    </w:div>
    <w:div w:id="1002392540">
      <w:bodyDiv w:val="1"/>
      <w:marLeft w:val="0"/>
      <w:marRight w:val="0"/>
      <w:marTop w:val="0"/>
      <w:marBottom w:val="0"/>
      <w:divBdr>
        <w:top w:val="none" w:sz="0" w:space="0" w:color="auto"/>
        <w:left w:val="none" w:sz="0" w:space="0" w:color="auto"/>
        <w:bottom w:val="none" w:sz="0" w:space="0" w:color="auto"/>
        <w:right w:val="none" w:sz="0" w:space="0" w:color="auto"/>
      </w:divBdr>
    </w:div>
    <w:div w:id="1443038252">
      <w:bodyDiv w:val="1"/>
      <w:marLeft w:val="0"/>
      <w:marRight w:val="0"/>
      <w:marTop w:val="0"/>
      <w:marBottom w:val="0"/>
      <w:divBdr>
        <w:top w:val="none" w:sz="0" w:space="0" w:color="auto"/>
        <w:left w:val="none" w:sz="0" w:space="0" w:color="auto"/>
        <w:bottom w:val="none" w:sz="0" w:space="0" w:color="auto"/>
        <w:right w:val="none" w:sz="0" w:space="0" w:color="auto"/>
      </w:divBdr>
    </w:div>
    <w:div w:id="1652178287">
      <w:bodyDiv w:val="1"/>
      <w:marLeft w:val="0"/>
      <w:marRight w:val="0"/>
      <w:marTop w:val="0"/>
      <w:marBottom w:val="0"/>
      <w:divBdr>
        <w:top w:val="none" w:sz="0" w:space="0" w:color="auto"/>
        <w:left w:val="none" w:sz="0" w:space="0" w:color="auto"/>
        <w:bottom w:val="none" w:sz="0" w:space="0" w:color="auto"/>
        <w:right w:val="none" w:sz="0" w:space="0" w:color="auto"/>
      </w:divBdr>
    </w:div>
    <w:div w:id="1734768864">
      <w:bodyDiv w:val="1"/>
      <w:marLeft w:val="0"/>
      <w:marRight w:val="0"/>
      <w:marTop w:val="0"/>
      <w:marBottom w:val="0"/>
      <w:divBdr>
        <w:top w:val="none" w:sz="0" w:space="0" w:color="auto"/>
        <w:left w:val="none" w:sz="0" w:space="0" w:color="auto"/>
        <w:bottom w:val="none" w:sz="0" w:space="0" w:color="auto"/>
        <w:right w:val="none" w:sz="0" w:space="0" w:color="auto"/>
      </w:divBdr>
    </w:div>
    <w:div w:id="20931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hill@rps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ocalplans@sstaffs.gov.uk" TargetMode="External"/><Relationship Id="rId4" Type="http://schemas.openxmlformats.org/officeDocument/2006/relationships/webSettings" Target="webSettings.xml"/><Relationship Id="rId9" Type="http://schemas.openxmlformats.org/officeDocument/2006/relationships/hyperlink" Target="https://www.sstaffs.gov.uk/planning/strategic-planning--data-protectio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4743</Words>
  <Characters>27038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Oakley, Darren</cp:lastModifiedBy>
  <cp:revision>4</cp:revision>
  <dcterms:created xsi:type="dcterms:W3CDTF">2024-05-22T10:16:00Z</dcterms:created>
  <dcterms:modified xsi:type="dcterms:W3CDTF">2024-05-24T09:20:00Z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