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7"/>
        <w:gridCol w:w="217"/>
        <w:gridCol w:w="414"/>
        <w:gridCol w:w="223"/>
        <w:gridCol w:w="492"/>
        <w:gridCol w:w="294"/>
        <w:gridCol w:w="1098"/>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72E6A647"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D82C80">
              <w:rPr>
                <w:rFonts w:ascii="Verdana" w:hAnsi="Verdana" w:cs="Arial"/>
                <w:b/>
                <w:bCs/>
                <w:sz w:val="20"/>
              </w:rPr>
              <w:t>23</w:t>
            </w:r>
            <w:r w:rsidRPr="006E4EE9">
              <w:rPr>
                <w:rFonts w:ascii="Verdana" w:hAnsi="Verdana" w:cs="Arial"/>
                <w:b/>
                <w:bCs/>
                <w:sz w:val="20"/>
              </w:rPr>
              <w:t xml:space="preserve"> - 20</w:t>
            </w:r>
            <w:r w:rsidR="00D82C80">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792CBE77"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0C30A9">
              <w:rPr>
                <w:rFonts w:ascii="Verdana" w:hAnsi="Verdana" w:cs="Arial"/>
                <w:b/>
                <w:bCs/>
                <w:sz w:val="18"/>
                <w:szCs w:val="18"/>
              </w:rPr>
              <w:t xml:space="preserve">noon </w:t>
            </w:r>
            <w:r w:rsidR="00B77C2F">
              <w:rPr>
                <w:rFonts w:ascii="Verdana" w:hAnsi="Verdana" w:cs="Arial"/>
                <w:b/>
                <w:bCs/>
                <w:sz w:val="18"/>
                <w:szCs w:val="18"/>
              </w:rPr>
              <w:t xml:space="preserve">Friday </w:t>
            </w:r>
            <w:r w:rsidR="006E4EE9" w:rsidRPr="006E4EE9">
              <w:rPr>
                <w:rFonts w:ascii="Verdana" w:hAnsi="Verdana" w:cs="Arial"/>
                <w:b/>
                <w:bCs/>
                <w:sz w:val="18"/>
                <w:szCs w:val="18"/>
              </w:rPr>
              <w:t>3</w:t>
            </w:r>
            <w:r w:rsidR="00EB3A6C">
              <w:rPr>
                <w:rFonts w:ascii="Verdana" w:hAnsi="Verdana" w:cs="Arial"/>
                <w:b/>
                <w:bCs/>
                <w:sz w:val="18"/>
                <w:szCs w:val="18"/>
              </w:rPr>
              <w:t>1</w:t>
            </w:r>
            <w:r w:rsidR="006E4EE9" w:rsidRPr="006E4EE9">
              <w:rPr>
                <w:rFonts w:ascii="Verdana" w:hAnsi="Verdana" w:cs="Arial"/>
                <w:b/>
                <w:bCs/>
                <w:sz w:val="18"/>
                <w:szCs w:val="18"/>
              </w:rPr>
              <w:t xml:space="preserve"> </w:t>
            </w:r>
            <w:r w:rsidR="00EB3A6C">
              <w:rPr>
                <w:rFonts w:ascii="Verdana" w:hAnsi="Verdana" w:cs="Arial"/>
                <w:b/>
                <w:bCs/>
                <w:sz w:val="18"/>
                <w:szCs w:val="18"/>
              </w:rPr>
              <w:t>May</w:t>
            </w:r>
            <w:r w:rsidR="006E4EE9" w:rsidRPr="006E4EE9">
              <w:rPr>
                <w:rFonts w:ascii="Verdana" w:hAnsi="Verdana" w:cs="Arial"/>
                <w:b/>
                <w:bCs/>
                <w:sz w:val="18"/>
                <w:szCs w:val="18"/>
              </w:rPr>
              <w:t xml:space="preserve"> 202</w:t>
            </w:r>
            <w:r w:rsidR="00EB3A6C">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C0FD93" w:rsidR="00AE2F13" w:rsidRDefault="00AE2F13" w:rsidP="00644675">
            <w:pPr>
              <w:ind w:left="-3" w:firstLine="3"/>
              <w:rPr>
                <w:rFonts w:ascii="Verdana" w:hAnsi="Verdana" w:cs="Arial"/>
                <w:sz w:val="20"/>
              </w:rPr>
            </w:pPr>
            <w:r>
              <w:rPr>
                <w:rFonts w:ascii="Verdana" w:hAnsi="Verdana" w:cs="Arial"/>
                <w:sz w:val="20"/>
              </w:rPr>
              <w:t> </w:t>
            </w:r>
            <w:r w:rsidR="007B5609">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09AD17D7" w:rsidR="00AE2F13" w:rsidRDefault="00AE2F13" w:rsidP="00644675">
            <w:pPr>
              <w:rPr>
                <w:rFonts w:ascii="Verdana" w:hAnsi="Verdana" w:cs="Arial"/>
                <w:sz w:val="20"/>
              </w:rPr>
            </w:pPr>
            <w:r>
              <w:rPr>
                <w:rFonts w:ascii="Verdana" w:hAnsi="Verdana" w:cs="Arial"/>
                <w:sz w:val="20"/>
              </w:rPr>
              <w:t> </w:t>
            </w:r>
            <w:r w:rsidR="007B5609">
              <w:rPr>
                <w:rFonts w:ascii="Verdana" w:hAnsi="Verdana" w:cs="Arial"/>
                <w:sz w:val="20"/>
              </w:rPr>
              <w:t xml:space="preserve">Mr </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081103C8" w:rsidR="00AE2F13" w:rsidRDefault="00AE2F13" w:rsidP="00644675">
            <w:pPr>
              <w:ind w:left="-3" w:firstLine="3"/>
              <w:rPr>
                <w:rFonts w:ascii="Verdana" w:hAnsi="Verdana" w:cs="Arial"/>
                <w:sz w:val="20"/>
              </w:rPr>
            </w:pPr>
            <w:r>
              <w:rPr>
                <w:rFonts w:ascii="Verdana" w:hAnsi="Verdana" w:cs="Arial"/>
                <w:sz w:val="20"/>
              </w:rPr>
              <w:t> </w:t>
            </w:r>
            <w:r w:rsidR="007C0CDB">
              <w:rPr>
                <w:rFonts w:ascii="Verdana" w:hAnsi="Verdana" w:cs="Arial"/>
                <w:sz w:val="20"/>
              </w:rPr>
              <w:t>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E69DB3C" w:rsidR="00AE2F13" w:rsidRDefault="00AE2F13" w:rsidP="00644675">
            <w:pPr>
              <w:rPr>
                <w:rFonts w:ascii="Verdana" w:hAnsi="Verdana" w:cs="Arial"/>
                <w:sz w:val="20"/>
              </w:rPr>
            </w:pPr>
            <w:r>
              <w:rPr>
                <w:rFonts w:ascii="Verdana" w:hAnsi="Verdana" w:cs="Arial"/>
                <w:sz w:val="20"/>
              </w:rPr>
              <w:t> </w:t>
            </w:r>
            <w:r w:rsidR="007B5609">
              <w:rPr>
                <w:rFonts w:ascii="Verdana" w:hAnsi="Verdana" w:cs="Arial"/>
                <w:sz w:val="20"/>
              </w:rPr>
              <w:t>Paul</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224586A8" w:rsidR="00AE2F13" w:rsidRDefault="00AE2F13" w:rsidP="00644675">
            <w:pPr>
              <w:ind w:left="-3" w:firstLine="3"/>
              <w:rPr>
                <w:rFonts w:ascii="Verdana" w:hAnsi="Verdana" w:cs="Arial"/>
                <w:sz w:val="20"/>
              </w:rPr>
            </w:pPr>
            <w:r>
              <w:rPr>
                <w:rFonts w:ascii="Verdana" w:hAnsi="Verdana" w:cs="Arial"/>
                <w:sz w:val="20"/>
              </w:rPr>
              <w:t> </w:t>
            </w:r>
            <w:r w:rsidR="007C0CDB">
              <w:rPr>
                <w:rFonts w:ascii="Verdana" w:hAnsi="Verdana" w:cs="Arial"/>
                <w:sz w:val="20"/>
              </w:rPr>
              <w:t>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1654CABA" w:rsidR="00AE2F13" w:rsidRDefault="00AE2F13" w:rsidP="00644675">
            <w:pPr>
              <w:rPr>
                <w:rFonts w:ascii="Verdana" w:hAnsi="Verdana" w:cs="Arial"/>
                <w:sz w:val="20"/>
              </w:rPr>
            </w:pPr>
            <w:r>
              <w:rPr>
                <w:rFonts w:ascii="Verdana" w:hAnsi="Verdana" w:cs="Arial"/>
                <w:sz w:val="20"/>
              </w:rPr>
              <w:t> </w:t>
            </w:r>
            <w:r w:rsidR="007B5609">
              <w:rPr>
                <w:rFonts w:ascii="Verdana" w:hAnsi="Verdana" w:cs="Arial"/>
                <w:sz w:val="20"/>
              </w:rPr>
              <w:t>Hill</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604B8EA8" w:rsidR="00AE2F13" w:rsidRDefault="00AE2F13" w:rsidP="00644675">
            <w:pPr>
              <w:ind w:left="-3" w:firstLine="3"/>
              <w:rPr>
                <w:rFonts w:ascii="Verdana" w:hAnsi="Verdana" w:cs="Arial"/>
                <w:sz w:val="20"/>
              </w:rPr>
            </w:pPr>
            <w:r>
              <w:rPr>
                <w:rFonts w:ascii="Verdana" w:hAnsi="Verdana" w:cs="Arial"/>
                <w:sz w:val="20"/>
              </w:rPr>
              <w:t> </w:t>
            </w:r>
            <w:r w:rsidR="007B5609">
              <w:rPr>
                <w:rFonts w:ascii="Verdana" w:hAnsi="Verdana" w:cs="Arial"/>
                <w:sz w:val="20"/>
              </w:rPr>
              <w:t>Planning Manager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F36F8DC" w:rsidR="00AE2F13" w:rsidRDefault="00AE2F13" w:rsidP="00644675">
            <w:pPr>
              <w:rPr>
                <w:rFonts w:ascii="Verdana" w:hAnsi="Verdana" w:cs="Arial"/>
                <w:sz w:val="20"/>
              </w:rPr>
            </w:pPr>
            <w:r>
              <w:rPr>
                <w:rFonts w:ascii="Verdana" w:hAnsi="Verdana" w:cs="Arial"/>
                <w:sz w:val="20"/>
              </w:rPr>
              <w:t> </w:t>
            </w:r>
            <w:r w:rsidR="007B5609">
              <w:rPr>
                <w:rFonts w:ascii="Verdana" w:hAnsi="Verdana" w:cs="Arial"/>
                <w:sz w:val="20"/>
              </w:rPr>
              <w:t>Senior Planning 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4D89E151" w:rsidR="00AE2F13" w:rsidRDefault="00AE2F13" w:rsidP="00644675">
            <w:pPr>
              <w:ind w:left="-3" w:firstLine="3"/>
              <w:rPr>
                <w:rFonts w:ascii="Verdana" w:hAnsi="Verdana" w:cs="Arial"/>
                <w:sz w:val="20"/>
              </w:rPr>
            </w:pPr>
            <w:r>
              <w:rPr>
                <w:rFonts w:ascii="Verdana" w:hAnsi="Verdana" w:cs="Arial"/>
                <w:sz w:val="20"/>
              </w:rPr>
              <w:t> </w:t>
            </w:r>
            <w:r w:rsidR="007C0CDB">
              <w:rPr>
                <w:rFonts w:ascii="Verdana" w:hAnsi="Verdana" w:cs="Arial"/>
                <w:sz w:val="20"/>
              </w:rPr>
              <w:t>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0D396B74" w:rsidR="00AE2F13" w:rsidRDefault="00AE2F13" w:rsidP="00644675">
            <w:pPr>
              <w:rPr>
                <w:rFonts w:ascii="Verdana" w:hAnsi="Verdana" w:cs="Arial"/>
                <w:sz w:val="20"/>
              </w:rPr>
            </w:pPr>
            <w:r>
              <w:rPr>
                <w:rFonts w:ascii="Verdana" w:hAnsi="Verdana" w:cs="Arial"/>
                <w:sz w:val="20"/>
              </w:rPr>
              <w:t> </w:t>
            </w:r>
            <w:r w:rsidR="007B5609">
              <w:rPr>
                <w:rFonts w:ascii="Verdana" w:hAnsi="Verdana" w:cs="Arial"/>
                <w:sz w:val="20"/>
              </w:rPr>
              <w:t>RPS</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3644DEFC" w:rsidR="00AE2F13" w:rsidRDefault="00FC7BCB" w:rsidP="00644675">
            <w:pPr>
              <w:rPr>
                <w:rFonts w:ascii="Verdana" w:hAnsi="Verdana" w:cs="Arial"/>
                <w:sz w:val="20"/>
              </w:rPr>
            </w:pPr>
            <w:r>
              <w:rPr>
                <w:rFonts w:ascii="Verdana" w:hAnsi="Verdana" w:cs="Arial"/>
                <w:sz w:val="20"/>
              </w:rPr>
              <w:t>4</w:t>
            </w:r>
            <w:r w:rsidRPr="00FC7BCB">
              <w:rPr>
                <w:rFonts w:ascii="Verdana" w:hAnsi="Verdana" w:cs="Arial"/>
                <w:sz w:val="20"/>
                <w:vertAlign w:val="superscript"/>
              </w:rPr>
              <w:t>th</w:t>
            </w:r>
            <w:r>
              <w:rPr>
                <w:rFonts w:ascii="Verdana" w:hAnsi="Verdana" w:cs="Arial"/>
                <w:sz w:val="20"/>
              </w:rPr>
              <w:t xml:space="preserve"> floor, </w:t>
            </w:r>
            <w:r w:rsidR="00AE2F13">
              <w:rPr>
                <w:rFonts w:ascii="Verdana" w:hAnsi="Verdana" w:cs="Arial"/>
                <w:sz w:val="20"/>
              </w:rPr>
              <w:t> </w:t>
            </w:r>
            <w:r>
              <w:rPr>
                <w:rFonts w:ascii="Verdana" w:hAnsi="Verdana" w:cs="Arial"/>
                <w:sz w:val="20"/>
              </w:rPr>
              <w:t>1 Newhall Street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4F14DB71" w:rsidR="00AE2F13" w:rsidRDefault="00AE2F13" w:rsidP="00644675">
            <w:pPr>
              <w:rPr>
                <w:rFonts w:ascii="Verdana" w:hAnsi="Verdana" w:cs="Arial"/>
                <w:sz w:val="20"/>
              </w:rPr>
            </w:pPr>
            <w:r>
              <w:rPr>
                <w:rFonts w:ascii="Verdana" w:hAnsi="Verdana" w:cs="Arial"/>
                <w:sz w:val="20"/>
              </w:rPr>
              <w:t> </w:t>
            </w:r>
            <w:r w:rsidR="00FC7BCB">
              <w:rPr>
                <w:rFonts w:ascii="Verdana" w:hAnsi="Verdana" w:cs="Arial"/>
                <w:sz w:val="20"/>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010A1A4" w:rsidR="00AE2F13" w:rsidRDefault="00AE2F13" w:rsidP="00644675">
            <w:pPr>
              <w:rPr>
                <w:rFonts w:ascii="Verdana" w:hAnsi="Verdana" w:cs="Arial"/>
                <w:sz w:val="20"/>
              </w:rPr>
            </w:pPr>
            <w:r>
              <w:rPr>
                <w:rFonts w:ascii="Verdana" w:hAnsi="Verdana" w:cs="Arial"/>
                <w:sz w:val="20"/>
              </w:rPr>
              <w:t> </w:t>
            </w:r>
            <w:r w:rsidR="00FC7BCB">
              <w:rPr>
                <w:rFonts w:ascii="Verdana" w:hAnsi="Verdana" w:cs="Arial"/>
                <w:sz w:val="20"/>
              </w:rPr>
              <w:t>B3 3NH</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383F2E37" w:rsidR="00AE2F13" w:rsidRDefault="00AE2F13" w:rsidP="00644675">
            <w:pPr>
              <w:rPr>
                <w:rFonts w:ascii="Verdana" w:hAnsi="Verdana" w:cs="Arial"/>
                <w:sz w:val="20"/>
              </w:rPr>
            </w:pPr>
            <w:r>
              <w:rPr>
                <w:rFonts w:ascii="Verdana" w:hAnsi="Verdana" w:cs="Arial"/>
                <w:sz w:val="20"/>
              </w:rPr>
              <w:t> </w:t>
            </w:r>
            <w:r w:rsidR="00FC7BCB">
              <w:rPr>
                <w:rFonts w:ascii="Verdana" w:hAnsi="Verdana" w:cs="Arial"/>
                <w:sz w:val="20"/>
              </w:rPr>
              <w:t>0121 6228520</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2DB405D9" w:rsidR="00AE2F13" w:rsidRDefault="00AE2F13" w:rsidP="00644675">
            <w:pPr>
              <w:rPr>
                <w:rFonts w:ascii="Verdana" w:hAnsi="Verdana" w:cs="Arial"/>
                <w:sz w:val="20"/>
              </w:rPr>
            </w:pPr>
            <w:r>
              <w:rPr>
                <w:rFonts w:ascii="Verdana" w:hAnsi="Verdana" w:cs="Arial"/>
                <w:sz w:val="20"/>
              </w:rPr>
              <w:t> </w:t>
            </w:r>
            <w:hyperlink r:id="rId9" w:history="1">
              <w:r w:rsidR="007B5609" w:rsidRPr="00EC008F">
                <w:rPr>
                  <w:rStyle w:val="Hyperlink"/>
                  <w:rFonts w:ascii="Verdana" w:hAnsi="Verdana" w:cs="Arial"/>
                  <w:sz w:val="20"/>
                </w:rPr>
                <w:t>Paul.hill@rps.tetratech.com</w:t>
              </w:r>
            </w:hyperlink>
            <w:r w:rsidR="007B5609">
              <w:rPr>
                <w:rFonts w:ascii="Verdana" w:hAnsi="Verdana" w:cs="Arial"/>
                <w:sz w:val="20"/>
              </w:rPr>
              <w:t xml:space="preserve"> </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26737E9" w:rsidR="00AE2F13" w:rsidRPr="00D95BD6" w:rsidRDefault="002668A2" w:rsidP="00644675">
            <w:pPr>
              <w:rPr>
                <w:rFonts w:ascii="Verdana" w:hAnsi="Verdana" w:cs="Arial"/>
                <w:b/>
                <w:bCs/>
                <w:sz w:val="20"/>
              </w:rPr>
            </w:pPr>
            <w:r w:rsidRPr="00D95BD6">
              <w:rPr>
                <w:rFonts w:ascii="Verdana" w:hAnsi="Verdana" w:cs="Arial"/>
                <w:b/>
                <w:bCs/>
                <w:sz w:val="20"/>
              </w:rPr>
              <w:t>3.6-3.7, Table 2</w:t>
            </w:r>
            <w:r w:rsidR="00D95BD6" w:rsidRPr="00D95BD6">
              <w:rPr>
                <w:rFonts w:ascii="Verdana" w:hAnsi="Verdana" w:cs="Arial"/>
                <w:b/>
                <w:bCs/>
                <w:sz w:val="20"/>
              </w:rPr>
              <w:t>, 5.9-5.11</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644675">
            <w:pP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6B0734BC" w:rsidR="00AE2F13" w:rsidRDefault="00AE2F13" w:rsidP="00644675">
            <w:pPr>
              <w:rPr>
                <w:rFonts w:ascii="Verdana" w:hAnsi="Verdana" w:cs="Arial"/>
                <w:sz w:val="20"/>
              </w:rPr>
            </w:pP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77777777" w:rsidR="00AE2F13" w:rsidRDefault="00AE2F13" w:rsidP="007B5609">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417CC7BB" w:rsidR="00AE2F13" w:rsidRDefault="00D95BD6" w:rsidP="00AE2F13">
                                  <w:r>
                                    <w:sym w:font="Wingdings" w:char="F0FC"/>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417CC7BB" w:rsidR="00AE2F13" w:rsidRDefault="00D95BD6" w:rsidP="00AE2F13">
                            <w:r>
                              <w:sym w:font="Wingdings" w:char="F0FC"/>
                            </w: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6A003D9E" w:rsidR="00AE2F13" w:rsidRPr="002668A2" w:rsidRDefault="002668A2" w:rsidP="00D60B25">
            <w:pPr>
              <w:spacing w:line="360" w:lineRule="auto"/>
              <w:rPr>
                <w:rFonts w:ascii="Verdana" w:hAnsi="Verdana" w:cs="Arial"/>
                <w:b/>
                <w:bCs/>
                <w:sz w:val="20"/>
                <w:szCs w:val="20"/>
                <w:u w:val="single"/>
              </w:rPr>
            </w:pPr>
            <w:r w:rsidRPr="002668A2">
              <w:rPr>
                <w:rFonts w:ascii="Verdana" w:hAnsi="Verdana" w:cs="Arial"/>
                <w:b/>
                <w:bCs/>
                <w:sz w:val="20"/>
                <w:szCs w:val="20"/>
                <w:u w:val="single"/>
              </w:rPr>
              <w:t>Duty to Cooperate</w:t>
            </w:r>
          </w:p>
          <w:p w14:paraId="5A52BB14" w14:textId="77777777" w:rsidR="00822BBA" w:rsidRDefault="00822BBA" w:rsidP="00D60B25">
            <w:pPr>
              <w:spacing w:line="360" w:lineRule="auto"/>
              <w:rPr>
                <w:rFonts w:ascii="Verdana" w:hAnsi="Verdana" w:cs="Arial"/>
                <w:sz w:val="20"/>
                <w:szCs w:val="20"/>
              </w:rPr>
            </w:pPr>
          </w:p>
          <w:p w14:paraId="163BD743" w14:textId="77777777" w:rsidR="00822BBA" w:rsidRPr="00822BBA" w:rsidRDefault="00822BBA" w:rsidP="00D60B25">
            <w:pPr>
              <w:spacing w:line="360" w:lineRule="auto"/>
              <w:rPr>
                <w:rFonts w:ascii="Verdana" w:hAnsi="Verdana" w:cs="Arial"/>
                <w:b/>
                <w:bCs/>
                <w:sz w:val="20"/>
                <w:szCs w:val="20"/>
              </w:rPr>
            </w:pPr>
            <w:r w:rsidRPr="00822BBA">
              <w:rPr>
                <w:rFonts w:ascii="Verdana" w:hAnsi="Verdana" w:cs="Arial"/>
                <w:b/>
                <w:bCs/>
                <w:sz w:val="20"/>
                <w:szCs w:val="20"/>
              </w:rPr>
              <w:t>The Duty</w:t>
            </w:r>
          </w:p>
          <w:p w14:paraId="10BDEE06" w14:textId="77777777" w:rsidR="00822BBA" w:rsidRPr="00822BBA" w:rsidRDefault="00822BBA" w:rsidP="00D60B25">
            <w:pPr>
              <w:spacing w:line="360" w:lineRule="auto"/>
              <w:rPr>
                <w:rFonts w:ascii="Verdana" w:hAnsi="Verdana" w:cs="Arial"/>
                <w:sz w:val="20"/>
                <w:szCs w:val="20"/>
              </w:rPr>
            </w:pPr>
            <w:r w:rsidRPr="00822BBA">
              <w:rPr>
                <w:rFonts w:ascii="Verdana" w:hAnsi="Verdana" w:cs="Arial"/>
                <w:sz w:val="20"/>
                <w:szCs w:val="20"/>
              </w:rPr>
              <w:t>The duty to cooperate was introduced by the Localism Act 2011, and is set out in section 33A of the Planning and Compulsory Purchase Act 2004. It places a legal duty on local planning authorities and county councils in England, and prescribed public bodies to engage ‘</w:t>
            </w:r>
            <w:r w:rsidRPr="00822BBA">
              <w:rPr>
                <w:rFonts w:ascii="Verdana" w:hAnsi="Verdana" w:cs="Arial"/>
                <w:i/>
                <w:iCs/>
                <w:sz w:val="20"/>
                <w:szCs w:val="20"/>
              </w:rPr>
              <w:t>constructively, actively and on an ongoing basis’</w:t>
            </w:r>
            <w:r w:rsidRPr="00822BBA">
              <w:rPr>
                <w:rFonts w:ascii="Verdana" w:hAnsi="Verdana" w:cs="Arial"/>
                <w:sz w:val="20"/>
                <w:szCs w:val="20"/>
              </w:rPr>
              <w:t xml:space="preserve"> to maximise the effectiveness of local plan (PPG ID: 61-029). It is therefore incumbent on the Council to </w:t>
            </w:r>
            <w:r w:rsidRPr="00822BBA">
              <w:rPr>
                <w:rFonts w:ascii="Verdana" w:hAnsi="Verdana" w:cs="Arial"/>
                <w:sz w:val="20"/>
                <w:szCs w:val="20"/>
                <w:u w:val="single"/>
              </w:rPr>
              <w:t>demonstrate</w:t>
            </w:r>
            <w:r w:rsidRPr="00822BBA">
              <w:rPr>
                <w:rFonts w:ascii="Verdana" w:hAnsi="Verdana" w:cs="Arial"/>
                <w:sz w:val="20"/>
                <w:szCs w:val="20"/>
              </w:rPr>
              <w:t xml:space="preserve"> how it has complied with the legal Duty during the preparation of the Plan on strategic matters that cross more than one planning area, rather than simply state it has.  </w:t>
            </w:r>
          </w:p>
          <w:p w14:paraId="43857D32" w14:textId="77777777" w:rsidR="00822BBA" w:rsidRDefault="00822BBA" w:rsidP="00D60B25">
            <w:pPr>
              <w:spacing w:line="360" w:lineRule="auto"/>
              <w:rPr>
                <w:rFonts w:ascii="Verdana" w:hAnsi="Verdana" w:cs="Arial"/>
                <w:sz w:val="20"/>
                <w:szCs w:val="20"/>
              </w:rPr>
            </w:pPr>
          </w:p>
          <w:p w14:paraId="51BE3AEE" w14:textId="45940768" w:rsidR="00822BBA" w:rsidRPr="00822BBA" w:rsidRDefault="00822BBA" w:rsidP="00D60B25">
            <w:pPr>
              <w:spacing w:line="360" w:lineRule="auto"/>
              <w:rPr>
                <w:rFonts w:ascii="Verdana" w:hAnsi="Verdana" w:cs="Arial"/>
                <w:b/>
                <w:bCs/>
                <w:sz w:val="20"/>
                <w:szCs w:val="20"/>
              </w:rPr>
            </w:pPr>
            <w:r w:rsidRPr="00822BBA">
              <w:rPr>
                <w:rFonts w:ascii="Verdana" w:hAnsi="Verdana" w:cs="Arial"/>
                <w:b/>
                <w:bCs/>
                <w:sz w:val="20"/>
                <w:szCs w:val="20"/>
              </w:rPr>
              <w:t>The Council’s response to the Duty</w:t>
            </w:r>
          </w:p>
          <w:p w14:paraId="371A6925" w14:textId="32DFE0C2" w:rsidR="00D95BD6" w:rsidRDefault="00D95BD6" w:rsidP="00D60B25">
            <w:pPr>
              <w:spacing w:line="360" w:lineRule="auto"/>
              <w:rPr>
                <w:rFonts w:ascii="Verdana" w:hAnsi="Verdana" w:cs="Arial"/>
                <w:sz w:val="20"/>
                <w:szCs w:val="20"/>
              </w:rPr>
            </w:pPr>
            <w:r>
              <w:rPr>
                <w:rFonts w:ascii="Verdana" w:hAnsi="Verdana" w:cs="Arial"/>
                <w:sz w:val="20"/>
                <w:szCs w:val="20"/>
              </w:rPr>
              <w:t xml:space="preserve">The second Reg 19 Plan makes reference to the legal duty to cooperate and the need for statements of common ground to document </w:t>
            </w:r>
            <w:r w:rsidRPr="00D95BD6">
              <w:rPr>
                <w:rFonts w:ascii="Verdana" w:hAnsi="Verdana" w:cs="Arial"/>
                <w:sz w:val="20"/>
                <w:szCs w:val="20"/>
              </w:rPr>
              <w:t>the cross-boundary matters that need to be addressed and what progress has been made in dealing with them</w:t>
            </w:r>
            <w:r>
              <w:rPr>
                <w:rFonts w:ascii="Verdana" w:hAnsi="Verdana" w:cs="Arial"/>
                <w:sz w:val="20"/>
                <w:szCs w:val="20"/>
              </w:rPr>
              <w:t xml:space="preserve"> </w:t>
            </w:r>
            <w:r>
              <w:rPr>
                <w:rFonts w:ascii="Verdana" w:hAnsi="Verdana" w:cs="Arial"/>
                <w:sz w:val="20"/>
                <w:szCs w:val="20"/>
              </w:rPr>
              <w:lastRenderedPageBreak/>
              <w:t xml:space="preserve">(para 3.7). The Council accepts that addressing the unmet housing needs of the wider housing market area is a ‘challenge’ (Table 2). The Council also acknowledged that the scale of this problem is ‘increasing’ (para 5.10). </w:t>
            </w:r>
          </w:p>
          <w:p w14:paraId="442E530A" w14:textId="77777777" w:rsidR="00D95BD6" w:rsidRDefault="00D95BD6" w:rsidP="00D60B25">
            <w:pPr>
              <w:spacing w:line="360" w:lineRule="auto"/>
              <w:rPr>
                <w:rFonts w:ascii="Verdana" w:hAnsi="Verdana" w:cs="Arial"/>
                <w:sz w:val="20"/>
                <w:szCs w:val="20"/>
              </w:rPr>
            </w:pPr>
          </w:p>
          <w:p w14:paraId="522FD132" w14:textId="0253C3F3" w:rsidR="002668A2" w:rsidRDefault="00D95BD6" w:rsidP="00D60B25">
            <w:pPr>
              <w:spacing w:line="360" w:lineRule="auto"/>
              <w:rPr>
                <w:rFonts w:ascii="Verdana" w:hAnsi="Verdana" w:cs="Arial"/>
                <w:sz w:val="20"/>
                <w:szCs w:val="20"/>
              </w:rPr>
            </w:pPr>
            <w:r>
              <w:rPr>
                <w:rFonts w:ascii="Verdana" w:hAnsi="Verdana" w:cs="Arial"/>
                <w:sz w:val="20"/>
                <w:szCs w:val="20"/>
              </w:rPr>
              <w:t>In response, the Council has sought to significantly reduce the contribution towards the unmet needs of its neighbouring areas (areas that, incidentally, provide many of South Staffordshire’s residents with employment and access to higher order services). The contribution is being reduced from 4,000 to just 640 dwellings</w:t>
            </w:r>
            <w:r w:rsidR="007D686D">
              <w:rPr>
                <w:rFonts w:ascii="Verdana" w:hAnsi="Verdana" w:cs="Arial"/>
                <w:sz w:val="20"/>
                <w:szCs w:val="20"/>
              </w:rPr>
              <w:t xml:space="preserve"> out of a total unmet need </w:t>
            </w:r>
            <w:r w:rsidR="00965C10">
              <w:rPr>
                <w:rFonts w:ascii="Verdana" w:hAnsi="Verdana" w:cs="Arial"/>
                <w:sz w:val="20"/>
                <w:szCs w:val="20"/>
              </w:rPr>
              <w:t xml:space="preserve">or shortfall </w:t>
            </w:r>
            <w:r w:rsidR="007D686D">
              <w:rPr>
                <w:rFonts w:ascii="Verdana" w:hAnsi="Verdana" w:cs="Arial"/>
                <w:sz w:val="20"/>
                <w:szCs w:val="20"/>
              </w:rPr>
              <w:t xml:space="preserve">of 106,654 dwellings from the Black Country and Birmingham </w:t>
            </w:r>
            <w:r w:rsidR="008B0AE8">
              <w:rPr>
                <w:rFonts w:ascii="Verdana" w:hAnsi="Verdana" w:cs="Arial"/>
                <w:sz w:val="20"/>
                <w:szCs w:val="20"/>
              </w:rPr>
              <w:t xml:space="preserve">covering the period up to 2039 </w:t>
            </w:r>
            <w:r w:rsidR="007D686D">
              <w:rPr>
                <w:rFonts w:ascii="Verdana" w:hAnsi="Verdana" w:cs="Arial"/>
                <w:sz w:val="20"/>
                <w:szCs w:val="20"/>
              </w:rPr>
              <w:t>(para 5.10)</w:t>
            </w:r>
            <w:r>
              <w:rPr>
                <w:rFonts w:ascii="Verdana" w:hAnsi="Verdana" w:cs="Arial"/>
                <w:sz w:val="20"/>
                <w:szCs w:val="20"/>
              </w:rPr>
              <w:t xml:space="preserve">. </w:t>
            </w:r>
            <w:r w:rsidR="001A56C9">
              <w:rPr>
                <w:rFonts w:ascii="Verdana" w:hAnsi="Verdana" w:cs="Arial"/>
                <w:sz w:val="20"/>
                <w:szCs w:val="20"/>
              </w:rPr>
              <w:t>Whilst in strict terms, the Council is making a contribution, t</w:t>
            </w:r>
            <w:r w:rsidR="007D686D">
              <w:rPr>
                <w:rFonts w:ascii="Verdana" w:hAnsi="Verdana" w:cs="Arial"/>
                <w:sz w:val="20"/>
                <w:szCs w:val="20"/>
              </w:rPr>
              <w:t>his equates to just 0.8% of th</w:t>
            </w:r>
            <w:r w:rsidR="00965C10">
              <w:rPr>
                <w:rFonts w:ascii="Verdana" w:hAnsi="Verdana" w:cs="Arial"/>
                <w:sz w:val="20"/>
                <w:szCs w:val="20"/>
              </w:rPr>
              <w:t>e shortfall</w:t>
            </w:r>
            <w:r w:rsidR="00F25DA0">
              <w:rPr>
                <w:rFonts w:ascii="Verdana" w:hAnsi="Verdana" w:cs="Arial"/>
                <w:sz w:val="20"/>
                <w:szCs w:val="20"/>
              </w:rPr>
              <w:t>,</w:t>
            </w:r>
            <w:r w:rsidR="00965C10">
              <w:rPr>
                <w:rFonts w:ascii="Verdana" w:hAnsi="Verdana" w:cs="Arial"/>
                <w:sz w:val="20"/>
                <w:szCs w:val="20"/>
              </w:rPr>
              <w:t xml:space="preserve"> </w:t>
            </w:r>
            <w:r w:rsidR="001A56C9">
              <w:rPr>
                <w:rFonts w:ascii="Verdana" w:hAnsi="Verdana" w:cs="Arial"/>
                <w:sz w:val="20"/>
                <w:szCs w:val="20"/>
              </w:rPr>
              <w:t>or just 35.5 homes per annum over the plan period</w:t>
            </w:r>
            <w:r w:rsidR="007D686D">
              <w:rPr>
                <w:rFonts w:ascii="Verdana" w:hAnsi="Verdana" w:cs="Arial"/>
                <w:sz w:val="20"/>
                <w:szCs w:val="20"/>
              </w:rPr>
              <w:t>.</w:t>
            </w:r>
            <w:r w:rsidR="001A56C9">
              <w:rPr>
                <w:rFonts w:ascii="Verdana" w:hAnsi="Verdana" w:cs="Arial"/>
                <w:sz w:val="20"/>
                <w:szCs w:val="20"/>
              </w:rPr>
              <w:t xml:space="preserve">  </w:t>
            </w:r>
            <w:r>
              <w:rPr>
                <w:rFonts w:ascii="Verdana" w:hAnsi="Verdana" w:cs="Arial"/>
                <w:sz w:val="20"/>
                <w:szCs w:val="20"/>
              </w:rPr>
              <w:t xml:space="preserve"> </w:t>
            </w:r>
          </w:p>
          <w:p w14:paraId="26A6F6E8" w14:textId="77777777" w:rsidR="00B46F95" w:rsidRDefault="00B46F95" w:rsidP="00D60B25">
            <w:pPr>
              <w:spacing w:line="360" w:lineRule="auto"/>
              <w:rPr>
                <w:rFonts w:ascii="Verdana" w:hAnsi="Verdana" w:cs="Arial"/>
                <w:sz w:val="20"/>
                <w:szCs w:val="20"/>
              </w:rPr>
            </w:pPr>
          </w:p>
          <w:p w14:paraId="1E6D1AC8" w14:textId="01F523B6" w:rsidR="000558FC" w:rsidRDefault="00F25DA0" w:rsidP="00D60B25">
            <w:pPr>
              <w:spacing w:line="360" w:lineRule="auto"/>
              <w:rPr>
                <w:rFonts w:ascii="Verdana" w:hAnsi="Verdana" w:cs="Arial"/>
                <w:sz w:val="20"/>
                <w:szCs w:val="20"/>
              </w:rPr>
            </w:pPr>
            <w:r>
              <w:rPr>
                <w:rFonts w:ascii="Verdana" w:hAnsi="Verdana" w:cs="Arial"/>
                <w:sz w:val="20"/>
                <w:szCs w:val="20"/>
              </w:rPr>
              <w:t>T</w:t>
            </w:r>
            <w:r w:rsidR="00B46F95">
              <w:rPr>
                <w:rFonts w:ascii="Verdana" w:hAnsi="Verdana" w:cs="Arial"/>
                <w:sz w:val="20"/>
                <w:szCs w:val="20"/>
              </w:rPr>
              <w:t xml:space="preserve">he Council will no doubt point to the Duty to Cooperate Topic Paper (2024) </w:t>
            </w:r>
            <w:r w:rsidR="00C70533">
              <w:rPr>
                <w:rFonts w:ascii="Verdana" w:hAnsi="Verdana" w:cs="Arial"/>
                <w:sz w:val="20"/>
                <w:szCs w:val="20"/>
              </w:rPr>
              <w:t xml:space="preserve">(DTC TP) </w:t>
            </w:r>
            <w:r w:rsidR="00B46F95">
              <w:rPr>
                <w:rFonts w:ascii="Verdana" w:hAnsi="Verdana" w:cs="Arial"/>
                <w:sz w:val="20"/>
                <w:szCs w:val="20"/>
              </w:rPr>
              <w:t>and references therein on agreements and statements of common ground which seek to with this matter</w:t>
            </w:r>
            <w:r w:rsidR="00A33378">
              <w:rPr>
                <w:rFonts w:ascii="Verdana" w:hAnsi="Verdana" w:cs="Arial"/>
                <w:sz w:val="20"/>
                <w:szCs w:val="20"/>
              </w:rPr>
              <w:t xml:space="preserve">, in particular the </w:t>
            </w:r>
            <w:r w:rsidR="00A33378" w:rsidRPr="00A33378">
              <w:rPr>
                <w:rFonts w:ascii="Verdana" w:hAnsi="Verdana" w:cs="Arial"/>
                <w:i/>
                <w:iCs/>
                <w:sz w:val="20"/>
                <w:szCs w:val="20"/>
              </w:rPr>
              <w:t>GBBCHMA Development Needs Group Statement of Common Ground August 2022</w:t>
            </w:r>
            <w:r w:rsidR="00A33378">
              <w:rPr>
                <w:rFonts w:ascii="Verdana" w:hAnsi="Verdana" w:cs="Arial"/>
                <w:i/>
                <w:iCs/>
                <w:sz w:val="20"/>
                <w:szCs w:val="20"/>
              </w:rPr>
              <w:t xml:space="preserve"> </w:t>
            </w:r>
            <w:r w:rsidR="00A33378" w:rsidRPr="00A33378">
              <w:rPr>
                <w:rFonts w:ascii="Verdana" w:hAnsi="Verdana" w:cs="Arial"/>
                <w:sz w:val="20"/>
                <w:szCs w:val="20"/>
              </w:rPr>
              <w:t>(DTC</w:t>
            </w:r>
            <w:r w:rsidR="00C70533">
              <w:rPr>
                <w:rFonts w:ascii="Verdana" w:hAnsi="Verdana" w:cs="Arial"/>
                <w:sz w:val="20"/>
                <w:szCs w:val="20"/>
              </w:rPr>
              <w:t xml:space="preserve"> TP</w:t>
            </w:r>
            <w:r w:rsidR="00A33378" w:rsidRPr="00A33378">
              <w:rPr>
                <w:rFonts w:ascii="Verdana" w:hAnsi="Verdana" w:cs="Arial"/>
                <w:sz w:val="20"/>
                <w:szCs w:val="20"/>
              </w:rPr>
              <w:t>, Appendix B)</w:t>
            </w:r>
            <w:r w:rsidR="000558FC">
              <w:rPr>
                <w:rFonts w:ascii="Verdana" w:hAnsi="Verdana" w:cs="Arial"/>
                <w:sz w:val="20"/>
                <w:szCs w:val="20"/>
              </w:rPr>
              <w:t xml:space="preserve">  as evidence that it is has met </w:t>
            </w:r>
            <w:r w:rsidR="00D46882">
              <w:rPr>
                <w:rFonts w:ascii="Verdana" w:hAnsi="Verdana" w:cs="Arial"/>
                <w:sz w:val="20"/>
                <w:szCs w:val="20"/>
              </w:rPr>
              <w:t>its</w:t>
            </w:r>
            <w:r w:rsidR="000558FC">
              <w:rPr>
                <w:rFonts w:ascii="Verdana" w:hAnsi="Verdana" w:cs="Arial"/>
                <w:sz w:val="20"/>
                <w:szCs w:val="20"/>
              </w:rPr>
              <w:t xml:space="preserve"> legal duty</w:t>
            </w:r>
            <w:r w:rsidR="000558FC">
              <w:rPr>
                <w:rStyle w:val="FootnoteReference"/>
                <w:rFonts w:ascii="Verdana" w:hAnsi="Verdana" w:cs="Arial"/>
                <w:sz w:val="20"/>
                <w:szCs w:val="20"/>
              </w:rPr>
              <w:footnoteReference w:id="1"/>
            </w:r>
            <w:r w:rsidR="000558FC">
              <w:rPr>
                <w:rFonts w:ascii="Verdana" w:hAnsi="Verdana" w:cs="Arial"/>
                <w:sz w:val="20"/>
                <w:szCs w:val="20"/>
              </w:rPr>
              <w:t xml:space="preserve"> and </w:t>
            </w:r>
            <w:r w:rsidR="00D46882">
              <w:rPr>
                <w:rFonts w:ascii="Verdana" w:hAnsi="Verdana" w:cs="Arial"/>
                <w:sz w:val="20"/>
                <w:szCs w:val="20"/>
              </w:rPr>
              <w:t xml:space="preserve">that their actions are </w:t>
            </w:r>
            <w:r w:rsidR="000558FC">
              <w:rPr>
                <w:rFonts w:ascii="Verdana" w:hAnsi="Verdana" w:cs="Arial"/>
                <w:sz w:val="20"/>
                <w:szCs w:val="20"/>
              </w:rPr>
              <w:t xml:space="preserve">consistent with national policy on dealing with </w:t>
            </w:r>
            <w:r w:rsidR="000558FC" w:rsidRPr="000558FC">
              <w:rPr>
                <w:rFonts w:ascii="Verdana" w:hAnsi="Verdana" w:cs="Arial"/>
                <w:sz w:val="20"/>
                <w:szCs w:val="20"/>
              </w:rPr>
              <w:t>strategic matters that cross administrative boundaries</w:t>
            </w:r>
            <w:r w:rsidR="00B46F95" w:rsidRPr="00A33378">
              <w:rPr>
                <w:rFonts w:ascii="Verdana" w:hAnsi="Verdana" w:cs="Arial"/>
                <w:sz w:val="20"/>
                <w:szCs w:val="20"/>
              </w:rPr>
              <w:t>.</w:t>
            </w:r>
            <w:r w:rsidR="00B46F95">
              <w:rPr>
                <w:rFonts w:ascii="Verdana" w:hAnsi="Verdana" w:cs="Arial"/>
                <w:sz w:val="20"/>
                <w:szCs w:val="20"/>
              </w:rPr>
              <w:t xml:space="preserve"> </w:t>
            </w:r>
          </w:p>
          <w:p w14:paraId="24C868D4" w14:textId="77777777" w:rsidR="000558FC" w:rsidRDefault="000558FC" w:rsidP="00D60B25">
            <w:pPr>
              <w:spacing w:line="360" w:lineRule="auto"/>
              <w:rPr>
                <w:rFonts w:ascii="Verdana" w:hAnsi="Verdana" w:cs="Arial"/>
                <w:sz w:val="20"/>
                <w:szCs w:val="20"/>
              </w:rPr>
            </w:pPr>
          </w:p>
          <w:p w14:paraId="52E2781F" w14:textId="233AA876" w:rsidR="00D46882" w:rsidRDefault="005375FE" w:rsidP="00D60B25">
            <w:pPr>
              <w:spacing w:line="360" w:lineRule="auto"/>
              <w:rPr>
                <w:rFonts w:ascii="Verdana" w:hAnsi="Verdana" w:cs="Arial"/>
                <w:sz w:val="20"/>
                <w:szCs w:val="20"/>
              </w:rPr>
            </w:pPr>
            <w:r>
              <w:rPr>
                <w:rFonts w:ascii="Verdana" w:hAnsi="Verdana" w:cs="Arial"/>
                <w:sz w:val="20"/>
                <w:szCs w:val="20"/>
              </w:rPr>
              <w:t>However,</w:t>
            </w:r>
            <w:r w:rsidR="00A33378">
              <w:rPr>
                <w:rFonts w:ascii="Verdana" w:hAnsi="Verdana" w:cs="Arial"/>
                <w:sz w:val="20"/>
                <w:szCs w:val="20"/>
              </w:rPr>
              <w:t xml:space="preserve"> </w:t>
            </w:r>
            <w:r w:rsidR="00D46882">
              <w:rPr>
                <w:rFonts w:ascii="Verdana" w:hAnsi="Verdana" w:cs="Arial"/>
                <w:sz w:val="20"/>
                <w:szCs w:val="20"/>
              </w:rPr>
              <w:t>RPS has reviewed the DTC TP and would draw the Inspector to the following</w:t>
            </w:r>
            <w:r w:rsidR="00A406D5">
              <w:rPr>
                <w:rFonts w:ascii="Verdana" w:hAnsi="Verdana" w:cs="Arial"/>
                <w:sz w:val="20"/>
                <w:szCs w:val="20"/>
              </w:rPr>
              <w:t xml:space="preserve"> on matters relating to unmet housing need</w:t>
            </w:r>
            <w:r w:rsidR="00D46882">
              <w:rPr>
                <w:rFonts w:ascii="Verdana" w:hAnsi="Verdana" w:cs="Arial"/>
                <w:sz w:val="20"/>
                <w:szCs w:val="20"/>
              </w:rPr>
              <w:t>:</w:t>
            </w:r>
          </w:p>
          <w:p w14:paraId="2ECB4193" w14:textId="77777777" w:rsidR="00D46882" w:rsidRDefault="00D46882" w:rsidP="00D60B25">
            <w:pPr>
              <w:spacing w:line="360" w:lineRule="auto"/>
              <w:rPr>
                <w:rFonts w:ascii="Verdana" w:hAnsi="Verdana" w:cs="Arial"/>
                <w:sz w:val="20"/>
                <w:szCs w:val="20"/>
              </w:rPr>
            </w:pPr>
          </w:p>
          <w:p w14:paraId="1CC22763" w14:textId="5D8D2D4A" w:rsidR="00D01F8C" w:rsidRDefault="00D01F8C" w:rsidP="00D60B25">
            <w:pPr>
              <w:pStyle w:val="ListParagraph"/>
              <w:numPr>
                <w:ilvl w:val="0"/>
                <w:numId w:val="1"/>
              </w:numPr>
              <w:spacing w:line="360" w:lineRule="auto"/>
              <w:rPr>
                <w:rFonts w:ascii="Verdana" w:hAnsi="Verdana" w:cs="Arial"/>
                <w:sz w:val="20"/>
                <w:szCs w:val="20"/>
              </w:rPr>
            </w:pPr>
            <w:r>
              <w:rPr>
                <w:rFonts w:ascii="Verdana" w:hAnsi="Verdana" w:cs="Arial"/>
                <w:sz w:val="20"/>
                <w:szCs w:val="20"/>
              </w:rPr>
              <w:t xml:space="preserve">South Staffordshire District Council (SSDC) had accepted </w:t>
            </w:r>
            <w:r w:rsidR="00F25DA0">
              <w:rPr>
                <w:rFonts w:ascii="Verdana" w:hAnsi="Verdana" w:cs="Arial"/>
                <w:sz w:val="20"/>
                <w:szCs w:val="20"/>
              </w:rPr>
              <w:t xml:space="preserve">and planned to accommodate </w:t>
            </w:r>
            <w:r>
              <w:rPr>
                <w:rFonts w:ascii="Verdana" w:hAnsi="Verdana" w:cs="Arial"/>
                <w:sz w:val="20"/>
                <w:szCs w:val="20"/>
              </w:rPr>
              <w:t>a proposed contribution of 4,000 dwellings and had consulted on this in their Publication (Pre-Submission) Plan in autumn 2022</w:t>
            </w:r>
            <w:r w:rsidR="001D64C1">
              <w:rPr>
                <w:rFonts w:ascii="Verdana" w:hAnsi="Verdana" w:cs="Arial"/>
                <w:sz w:val="20"/>
                <w:szCs w:val="20"/>
              </w:rPr>
              <w:t>.</w:t>
            </w:r>
          </w:p>
          <w:p w14:paraId="5D1405A9" w14:textId="52D605C5" w:rsidR="001D64C1" w:rsidRDefault="00D01F8C" w:rsidP="00D60B25">
            <w:pPr>
              <w:pStyle w:val="ListParagraph"/>
              <w:numPr>
                <w:ilvl w:val="0"/>
                <w:numId w:val="1"/>
              </w:numPr>
              <w:spacing w:line="360" w:lineRule="auto"/>
              <w:rPr>
                <w:rFonts w:ascii="Verdana" w:hAnsi="Verdana" w:cs="Arial"/>
                <w:sz w:val="20"/>
                <w:szCs w:val="20"/>
              </w:rPr>
            </w:pPr>
            <w:r>
              <w:rPr>
                <w:rFonts w:ascii="Verdana" w:hAnsi="Verdana" w:cs="Arial"/>
                <w:sz w:val="20"/>
                <w:szCs w:val="20"/>
              </w:rPr>
              <w:t>However, in October 2023 SSDC</w:t>
            </w:r>
            <w:r w:rsidRPr="00D01F8C">
              <w:rPr>
                <w:rFonts w:ascii="Verdana" w:hAnsi="Verdana" w:cs="Arial"/>
                <w:sz w:val="20"/>
                <w:szCs w:val="20"/>
              </w:rPr>
              <w:t xml:space="preserve"> wrote to all </w:t>
            </w:r>
            <w:r w:rsidR="00F3774D">
              <w:rPr>
                <w:rFonts w:ascii="Verdana" w:hAnsi="Verdana" w:cs="Arial"/>
                <w:sz w:val="20"/>
                <w:szCs w:val="20"/>
              </w:rPr>
              <w:t xml:space="preserve">other </w:t>
            </w:r>
            <w:r w:rsidRPr="00D01F8C">
              <w:rPr>
                <w:rFonts w:ascii="Verdana" w:hAnsi="Verdana" w:cs="Arial"/>
                <w:sz w:val="20"/>
                <w:szCs w:val="20"/>
              </w:rPr>
              <w:t>authorities within the GBBCHMA setting out that South Staffordshire was revising it</w:t>
            </w:r>
            <w:r w:rsidR="00F3774D">
              <w:rPr>
                <w:rFonts w:ascii="Verdana" w:hAnsi="Verdana" w:cs="Arial"/>
                <w:sz w:val="20"/>
                <w:szCs w:val="20"/>
              </w:rPr>
              <w:t>s</w:t>
            </w:r>
            <w:r w:rsidRPr="00D01F8C">
              <w:rPr>
                <w:rFonts w:ascii="Verdana" w:hAnsi="Verdana" w:cs="Arial"/>
                <w:sz w:val="20"/>
                <w:szCs w:val="20"/>
              </w:rPr>
              <w:t xml:space="preserve"> strategy and asked for their initial views on this revised approach.</w:t>
            </w:r>
            <w:r w:rsidR="004921AF">
              <w:rPr>
                <w:rFonts w:ascii="Verdana" w:hAnsi="Verdana" w:cs="Arial"/>
                <w:sz w:val="20"/>
                <w:szCs w:val="20"/>
              </w:rPr>
              <w:t xml:space="preserve"> The DTC TP says that ‘</w:t>
            </w:r>
            <w:r w:rsidR="004921AF" w:rsidRPr="004921AF">
              <w:rPr>
                <w:rFonts w:ascii="Verdana" w:hAnsi="Verdana" w:cs="Arial"/>
                <w:i/>
                <w:iCs/>
                <w:sz w:val="20"/>
                <w:szCs w:val="20"/>
              </w:rPr>
              <w:t>These letters and responses can be found in Appendix</w:t>
            </w:r>
            <w:r w:rsidR="004921AF">
              <w:rPr>
                <w:rFonts w:ascii="Verdana" w:hAnsi="Verdana" w:cs="Arial"/>
                <w:sz w:val="20"/>
                <w:szCs w:val="20"/>
              </w:rPr>
              <w:t>..’</w:t>
            </w:r>
            <w:r w:rsidR="00F3774D">
              <w:rPr>
                <w:rFonts w:ascii="Verdana" w:hAnsi="Verdana" w:cs="Arial"/>
                <w:sz w:val="20"/>
                <w:szCs w:val="20"/>
              </w:rPr>
              <w:t xml:space="preserve"> (DTC TP, Appendix A, page 23)</w:t>
            </w:r>
            <w:r w:rsidR="004921AF">
              <w:rPr>
                <w:rFonts w:ascii="Verdana" w:hAnsi="Verdana" w:cs="Arial"/>
                <w:sz w:val="20"/>
                <w:szCs w:val="20"/>
              </w:rPr>
              <w:t xml:space="preserve">. </w:t>
            </w:r>
          </w:p>
          <w:p w14:paraId="06E4AA87" w14:textId="088B4188" w:rsidR="004921AF" w:rsidRDefault="001D64C1" w:rsidP="00D60B25">
            <w:pPr>
              <w:pStyle w:val="ListParagraph"/>
              <w:numPr>
                <w:ilvl w:val="0"/>
                <w:numId w:val="1"/>
              </w:numPr>
              <w:spacing w:line="360" w:lineRule="auto"/>
              <w:rPr>
                <w:rFonts w:ascii="Verdana" w:hAnsi="Verdana" w:cs="Arial"/>
                <w:sz w:val="20"/>
                <w:szCs w:val="20"/>
              </w:rPr>
            </w:pPr>
            <w:r>
              <w:rPr>
                <w:rFonts w:ascii="Verdana" w:hAnsi="Verdana" w:cs="Arial"/>
                <w:sz w:val="20"/>
                <w:szCs w:val="20"/>
              </w:rPr>
              <w:t>Neither the letters sent to it neighbours in the wider HMA in October 2023 nor any</w:t>
            </w:r>
            <w:r w:rsidR="004921AF">
              <w:rPr>
                <w:rFonts w:ascii="Verdana" w:hAnsi="Verdana" w:cs="Arial"/>
                <w:sz w:val="20"/>
                <w:szCs w:val="20"/>
              </w:rPr>
              <w:t xml:space="preserve"> correspondence, if it exists, has been appended to the DTC TP.</w:t>
            </w:r>
          </w:p>
          <w:p w14:paraId="77D416F6" w14:textId="15ED1A21" w:rsidR="00C70533" w:rsidRDefault="00C70533" w:rsidP="00D60B25">
            <w:pPr>
              <w:pStyle w:val="ListParagraph"/>
              <w:numPr>
                <w:ilvl w:val="0"/>
                <w:numId w:val="1"/>
              </w:numPr>
              <w:spacing w:line="360" w:lineRule="auto"/>
              <w:rPr>
                <w:rFonts w:ascii="Verdana" w:hAnsi="Verdana" w:cs="Arial"/>
                <w:sz w:val="20"/>
                <w:szCs w:val="20"/>
              </w:rPr>
            </w:pPr>
            <w:r>
              <w:rPr>
                <w:rFonts w:ascii="Verdana" w:hAnsi="Verdana" w:cs="Arial"/>
                <w:sz w:val="20"/>
                <w:szCs w:val="20"/>
              </w:rPr>
              <w:t>The evidence relied upon by the SSDC to demonstrate they have met</w:t>
            </w:r>
            <w:r w:rsidR="004921AF">
              <w:rPr>
                <w:rFonts w:ascii="Verdana" w:hAnsi="Verdana" w:cs="Arial"/>
                <w:sz w:val="20"/>
                <w:szCs w:val="20"/>
              </w:rPr>
              <w:t xml:space="preserve"> </w:t>
            </w:r>
            <w:r>
              <w:rPr>
                <w:rFonts w:ascii="Verdana" w:hAnsi="Verdana" w:cs="Arial"/>
                <w:sz w:val="20"/>
                <w:szCs w:val="20"/>
              </w:rPr>
              <w:t xml:space="preserve">the duty to cooperate is provided in the DTC TP (Appendix A).  However, this largely relates to various officer working group meetings, email correspondence between parties, and local plan consultation responses. </w:t>
            </w:r>
          </w:p>
          <w:p w14:paraId="35DC1C63" w14:textId="449F20CB" w:rsidR="00C70533" w:rsidRDefault="00C70533" w:rsidP="00D60B25">
            <w:pPr>
              <w:pStyle w:val="ListParagraph"/>
              <w:numPr>
                <w:ilvl w:val="0"/>
                <w:numId w:val="1"/>
              </w:numPr>
              <w:spacing w:line="360" w:lineRule="auto"/>
              <w:rPr>
                <w:rFonts w:ascii="Verdana" w:hAnsi="Verdana" w:cs="Arial"/>
                <w:sz w:val="20"/>
                <w:szCs w:val="20"/>
              </w:rPr>
            </w:pPr>
            <w:r w:rsidRPr="00C70533">
              <w:rPr>
                <w:rFonts w:ascii="Verdana" w:hAnsi="Verdana" w:cs="Arial"/>
                <w:sz w:val="20"/>
                <w:szCs w:val="20"/>
              </w:rPr>
              <w:t xml:space="preserve">The evidence </w:t>
            </w:r>
            <w:r w:rsidR="00F3774D">
              <w:rPr>
                <w:rFonts w:ascii="Verdana" w:hAnsi="Verdana" w:cs="Arial"/>
                <w:sz w:val="20"/>
                <w:szCs w:val="20"/>
              </w:rPr>
              <w:t xml:space="preserve">presented by SSDC </w:t>
            </w:r>
            <w:r w:rsidR="004E3558">
              <w:rPr>
                <w:rFonts w:ascii="Verdana" w:hAnsi="Verdana" w:cs="Arial"/>
                <w:sz w:val="20"/>
                <w:szCs w:val="20"/>
              </w:rPr>
              <w:t>point</w:t>
            </w:r>
            <w:r w:rsidR="00F3774D">
              <w:rPr>
                <w:rFonts w:ascii="Verdana" w:hAnsi="Verdana" w:cs="Arial"/>
                <w:sz w:val="20"/>
                <w:szCs w:val="20"/>
              </w:rPr>
              <w:t>s</w:t>
            </w:r>
            <w:r w:rsidR="004E3558">
              <w:rPr>
                <w:rFonts w:ascii="Verdana" w:hAnsi="Verdana" w:cs="Arial"/>
                <w:sz w:val="20"/>
                <w:szCs w:val="20"/>
              </w:rPr>
              <w:t xml:space="preserve"> to</w:t>
            </w:r>
            <w:r w:rsidRPr="00C70533">
              <w:rPr>
                <w:rFonts w:ascii="Verdana" w:hAnsi="Verdana" w:cs="Arial"/>
                <w:sz w:val="20"/>
                <w:szCs w:val="20"/>
              </w:rPr>
              <w:t xml:space="preserve"> a Statement of Common Ground dated August 2022 across GBBCHMA and key related authorities</w:t>
            </w:r>
            <w:r>
              <w:rPr>
                <w:rFonts w:ascii="Verdana" w:hAnsi="Verdana" w:cs="Arial"/>
                <w:sz w:val="20"/>
                <w:szCs w:val="20"/>
              </w:rPr>
              <w:t xml:space="preserve"> (Appendix B of the DTC TP)</w:t>
            </w:r>
            <w:r w:rsidRPr="00C70533">
              <w:rPr>
                <w:rFonts w:ascii="Verdana" w:hAnsi="Verdana" w:cs="Arial"/>
                <w:sz w:val="20"/>
                <w:szCs w:val="20"/>
              </w:rPr>
              <w:t>. This SOCG refer</w:t>
            </w:r>
            <w:r w:rsidR="004E3558">
              <w:rPr>
                <w:rFonts w:ascii="Verdana" w:hAnsi="Verdana" w:cs="Arial"/>
                <w:sz w:val="20"/>
                <w:szCs w:val="20"/>
              </w:rPr>
              <w:t>s</w:t>
            </w:r>
            <w:r w:rsidRPr="00C70533">
              <w:rPr>
                <w:rFonts w:ascii="Verdana" w:hAnsi="Verdana" w:cs="Arial"/>
                <w:sz w:val="20"/>
                <w:szCs w:val="20"/>
              </w:rPr>
              <w:t xml:space="preserve"> to the 4,000 </w:t>
            </w:r>
            <w:r w:rsidR="004E3558">
              <w:rPr>
                <w:rFonts w:ascii="Verdana" w:hAnsi="Verdana" w:cs="Arial"/>
                <w:sz w:val="20"/>
                <w:szCs w:val="20"/>
              </w:rPr>
              <w:t xml:space="preserve">dwelling </w:t>
            </w:r>
            <w:r w:rsidRPr="00C70533">
              <w:rPr>
                <w:rFonts w:ascii="Verdana" w:hAnsi="Verdana" w:cs="Arial"/>
                <w:sz w:val="20"/>
                <w:szCs w:val="20"/>
              </w:rPr>
              <w:t xml:space="preserve">contribution </w:t>
            </w:r>
            <w:r w:rsidR="004E3558">
              <w:rPr>
                <w:rFonts w:ascii="Verdana" w:hAnsi="Verdana" w:cs="Arial"/>
                <w:sz w:val="20"/>
                <w:szCs w:val="20"/>
              </w:rPr>
              <w:t>from</w:t>
            </w:r>
            <w:r w:rsidRPr="00C70533">
              <w:rPr>
                <w:rFonts w:ascii="Verdana" w:hAnsi="Verdana" w:cs="Arial"/>
                <w:sz w:val="20"/>
                <w:szCs w:val="20"/>
              </w:rPr>
              <w:t xml:space="preserve"> South Staffordshire</w:t>
            </w:r>
            <w:r>
              <w:rPr>
                <w:rFonts w:ascii="Verdana" w:hAnsi="Verdana" w:cs="Arial"/>
                <w:sz w:val="20"/>
                <w:szCs w:val="20"/>
              </w:rPr>
              <w:t xml:space="preserve">. However, </w:t>
            </w:r>
            <w:r w:rsidRPr="00C70533">
              <w:rPr>
                <w:rFonts w:ascii="Verdana" w:hAnsi="Verdana" w:cs="Arial"/>
                <w:sz w:val="20"/>
                <w:szCs w:val="20"/>
              </w:rPr>
              <w:t xml:space="preserve">as highlighted above, SSDC has </w:t>
            </w:r>
            <w:r w:rsidR="004E3558">
              <w:rPr>
                <w:rFonts w:ascii="Verdana" w:hAnsi="Verdana" w:cs="Arial"/>
                <w:sz w:val="20"/>
                <w:szCs w:val="20"/>
              </w:rPr>
              <w:t xml:space="preserve">now </w:t>
            </w:r>
            <w:r w:rsidRPr="00C70533">
              <w:rPr>
                <w:rFonts w:ascii="Verdana" w:hAnsi="Verdana" w:cs="Arial"/>
                <w:sz w:val="20"/>
                <w:szCs w:val="20"/>
              </w:rPr>
              <w:t>effectively ren</w:t>
            </w:r>
            <w:r>
              <w:rPr>
                <w:rFonts w:ascii="Verdana" w:hAnsi="Verdana" w:cs="Arial"/>
                <w:sz w:val="20"/>
                <w:szCs w:val="20"/>
              </w:rPr>
              <w:t>e</w:t>
            </w:r>
            <w:r w:rsidRPr="00C70533">
              <w:rPr>
                <w:rFonts w:ascii="Verdana" w:hAnsi="Verdana" w:cs="Arial"/>
                <w:sz w:val="20"/>
                <w:szCs w:val="20"/>
              </w:rPr>
              <w:t>ged on t</w:t>
            </w:r>
            <w:r>
              <w:rPr>
                <w:rFonts w:ascii="Verdana" w:hAnsi="Verdana" w:cs="Arial"/>
                <w:sz w:val="20"/>
                <w:szCs w:val="20"/>
              </w:rPr>
              <w:t>heir previous commitment and so the value of this SOCG of evidence that SSDC has met the duty must be in question.</w:t>
            </w:r>
            <w:r w:rsidRPr="00C70533">
              <w:rPr>
                <w:rFonts w:ascii="Verdana" w:hAnsi="Verdana" w:cs="Arial"/>
                <w:sz w:val="20"/>
                <w:szCs w:val="20"/>
              </w:rPr>
              <w:t xml:space="preserve"> </w:t>
            </w:r>
            <w:r>
              <w:rPr>
                <w:rFonts w:ascii="Verdana" w:hAnsi="Verdana" w:cs="Arial"/>
                <w:sz w:val="20"/>
                <w:szCs w:val="20"/>
              </w:rPr>
              <w:t xml:space="preserve">In any event, the </w:t>
            </w:r>
            <w:r w:rsidR="00F3774D">
              <w:rPr>
                <w:rFonts w:ascii="Verdana" w:hAnsi="Verdana" w:cs="Arial"/>
                <w:sz w:val="20"/>
                <w:szCs w:val="20"/>
              </w:rPr>
              <w:t xml:space="preserve">2022 </w:t>
            </w:r>
            <w:r>
              <w:rPr>
                <w:rFonts w:ascii="Verdana" w:hAnsi="Verdana" w:cs="Arial"/>
                <w:sz w:val="20"/>
                <w:szCs w:val="20"/>
              </w:rPr>
              <w:t>SOCG was only signed by 9 of out 17 signatories, and so cannot be taken to formally represent a pan-HMA agreed position</w:t>
            </w:r>
            <w:r w:rsidR="00F3774D">
              <w:rPr>
                <w:rFonts w:ascii="Verdana" w:hAnsi="Verdana" w:cs="Arial"/>
                <w:sz w:val="20"/>
                <w:szCs w:val="20"/>
              </w:rPr>
              <w:t xml:space="preserve"> with regards to the SSLP</w:t>
            </w:r>
            <w:r>
              <w:rPr>
                <w:rFonts w:ascii="Verdana" w:hAnsi="Verdana" w:cs="Arial"/>
                <w:sz w:val="20"/>
                <w:szCs w:val="20"/>
              </w:rPr>
              <w:t xml:space="preserve">. </w:t>
            </w:r>
          </w:p>
          <w:p w14:paraId="6C4B49C4" w14:textId="445C5A96" w:rsidR="00D46882" w:rsidRDefault="008B0AE8" w:rsidP="00D60B25">
            <w:pPr>
              <w:pStyle w:val="ListParagraph"/>
              <w:numPr>
                <w:ilvl w:val="0"/>
                <w:numId w:val="1"/>
              </w:numPr>
              <w:spacing w:line="360" w:lineRule="auto"/>
              <w:rPr>
                <w:rFonts w:ascii="Verdana" w:hAnsi="Verdana" w:cs="Arial"/>
                <w:sz w:val="20"/>
                <w:szCs w:val="20"/>
              </w:rPr>
            </w:pPr>
            <w:r>
              <w:rPr>
                <w:rFonts w:ascii="Verdana" w:hAnsi="Verdana" w:cs="Arial"/>
                <w:sz w:val="20"/>
                <w:szCs w:val="20"/>
              </w:rPr>
              <w:t xml:space="preserve">Appendix C of the DTC TP provides a draft </w:t>
            </w:r>
            <w:r w:rsidRPr="008B0AE8">
              <w:rPr>
                <w:rFonts w:ascii="Verdana" w:hAnsi="Verdana" w:cs="Arial"/>
                <w:sz w:val="20"/>
                <w:szCs w:val="20"/>
              </w:rPr>
              <w:t>South Staffordshire Functional Economic Market Area Draft Statement of Common Ground Position at April 2024</w:t>
            </w:r>
            <w:r>
              <w:rPr>
                <w:rFonts w:ascii="Verdana" w:hAnsi="Verdana" w:cs="Arial"/>
                <w:sz w:val="20"/>
                <w:szCs w:val="20"/>
              </w:rPr>
              <w:t xml:space="preserve">. This SOCG has no signatories. </w:t>
            </w:r>
          </w:p>
          <w:p w14:paraId="00EF830F" w14:textId="4883013C" w:rsidR="008B0AE8" w:rsidRDefault="008B0AE8" w:rsidP="00D60B25">
            <w:pPr>
              <w:pStyle w:val="ListParagraph"/>
              <w:numPr>
                <w:ilvl w:val="0"/>
                <w:numId w:val="1"/>
              </w:numPr>
              <w:spacing w:line="360" w:lineRule="auto"/>
              <w:rPr>
                <w:rFonts w:ascii="Verdana" w:hAnsi="Verdana" w:cs="Arial"/>
                <w:sz w:val="20"/>
                <w:szCs w:val="20"/>
              </w:rPr>
            </w:pPr>
            <w:r w:rsidRPr="008B0AE8">
              <w:rPr>
                <w:rFonts w:ascii="Verdana" w:hAnsi="Verdana" w:cs="Arial"/>
                <w:sz w:val="20"/>
                <w:szCs w:val="20"/>
              </w:rPr>
              <w:t>Appendix D of the DTC TP includes a number of draft Statements of Common Ground with individual adjoining and HMA local authorities, and which include commentary on strategic matters relating to the wider strategic housing and employment shortfalls. Notably, the DTC TP indicates that Wolverhampton, Dudley, Sandwell and Walsall Councils have responded to say that they are not currently in a position to agree officer drafts</w:t>
            </w:r>
            <w:r>
              <w:rPr>
                <w:rFonts w:ascii="Verdana" w:hAnsi="Verdana" w:cs="Arial"/>
                <w:sz w:val="20"/>
                <w:szCs w:val="20"/>
              </w:rPr>
              <w:t>. None of the</w:t>
            </w:r>
            <w:r w:rsidR="00F3774D">
              <w:rPr>
                <w:rFonts w:ascii="Verdana" w:hAnsi="Verdana" w:cs="Arial"/>
                <w:sz w:val="20"/>
                <w:szCs w:val="20"/>
              </w:rPr>
              <w:t>se more recent</w:t>
            </w:r>
            <w:r>
              <w:rPr>
                <w:rFonts w:ascii="Verdana" w:hAnsi="Verdana" w:cs="Arial"/>
                <w:sz w:val="20"/>
                <w:szCs w:val="20"/>
              </w:rPr>
              <w:t xml:space="preserve"> draft SOCGs have been formally agreed at Member level</w:t>
            </w:r>
            <w:r w:rsidR="00F3774D">
              <w:rPr>
                <w:rFonts w:ascii="Verdana" w:hAnsi="Verdana" w:cs="Arial"/>
                <w:sz w:val="20"/>
                <w:szCs w:val="20"/>
              </w:rPr>
              <w:t xml:space="preserve"> within those authorities</w:t>
            </w:r>
            <w:r>
              <w:rPr>
                <w:rFonts w:ascii="Verdana" w:hAnsi="Verdana" w:cs="Arial"/>
                <w:sz w:val="20"/>
                <w:szCs w:val="20"/>
              </w:rPr>
              <w:t>.</w:t>
            </w:r>
          </w:p>
          <w:p w14:paraId="62C1B553" w14:textId="77777777" w:rsidR="008B0AE8" w:rsidRDefault="008B0AE8" w:rsidP="00D60B25">
            <w:pPr>
              <w:spacing w:line="360" w:lineRule="auto"/>
              <w:rPr>
                <w:rFonts w:ascii="Verdana" w:hAnsi="Verdana" w:cs="Arial"/>
                <w:sz w:val="20"/>
                <w:szCs w:val="20"/>
              </w:rPr>
            </w:pPr>
          </w:p>
          <w:p w14:paraId="65F0F52D" w14:textId="0DCC49B9" w:rsidR="008B0AE8" w:rsidRDefault="008B0AE8" w:rsidP="00D60B25">
            <w:pPr>
              <w:spacing w:line="360" w:lineRule="auto"/>
              <w:rPr>
                <w:rFonts w:ascii="Verdana" w:hAnsi="Verdana" w:cs="Arial"/>
                <w:sz w:val="20"/>
                <w:szCs w:val="20"/>
              </w:rPr>
            </w:pPr>
            <w:r>
              <w:rPr>
                <w:rFonts w:ascii="Verdana" w:hAnsi="Verdana" w:cs="Arial"/>
                <w:sz w:val="20"/>
                <w:szCs w:val="20"/>
              </w:rPr>
              <w:t xml:space="preserve">Based on this review, it is clear that limited progress has been made across the BBCHMA on how the shortfall in housing need emanating from Birmingham and Black Country will be addressed. Progress on formal sign off of the statements of common ground (dealing with both housing and employment) remain outstanding with no clear timetable for when these will be signed. </w:t>
            </w:r>
          </w:p>
          <w:p w14:paraId="179C4C88" w14:textId="77777777" w:rsidR="008B0AE8" w:rsidRDefault="008B0AE8" w:rsidP="00D60B25">
            <w:pPr>
              <w:spacing w:line="360" w:lineRule="auto"/>
              <w:rPr>
                <w:rFonts w:ascii="Verdana" w:hAnsi="Verdana" w:cs="Arial"/>
                <w:sz w:val="20"/>
                <w:szCs w:val="20"/>
              </w:rPr>
            </w:pPr>
          </w:p>
          <w:p w14:paraId="6BF4E831" w14:textId="31643623" w:rsidR="008B0AE8" w:rsidRDefault="008B0AE8" w:rsidP="00D60B25">
            <w:pPr>
              <w:spacing w:line="360" w:lineRule="auto"/>
              <w:rPr>
                <w:rFonts w:ascii="Verdana" w:hAnsi="Verdana" w:cs="Arial"/>
                <w:sz w:val="20"/>
                <w:szCs w:val="20"/>
              </w:rPr>
            </w:pPr>
            <w:r>
              <w:rPr>
                <w:rFonts w:ascii="Verdana" w:hAnsi="Verdana" w:cs="Arial"/>
                <w:sz w:val="20"/>
                <w:szCs w:val="20"/>
              </w:rPr>
              <w:t>Furthermore, SSDC’s shift away from their previously agreed position on the shortfall undermines the previous progress made to that point. The position of the Black Country authorities on SSDC’s shift in strategy and the reduction in the scale of their contribution also remains unclear.</w:t>
            </w:r>
            <w:r w:rsidR="0075450C">
              <w:rPr>
                <w:rFonts w:ascii="Verdana" w:hAnsi="Verdana" w:cs="Arial"/>
                <w:sz w:val="20"/>
                <w:szCs w:val="20"/>
              </w:rPr>
              <w:t xml:space="preserve"> </w:t>
            </w:r>
            <w:r w:rsidR="005E5FBD">
              <w:rPr>
                <w:rFonts w:ascii="Verdana" w:hAnsi="Verdana" w:cs="Arial"/>
                <w:sz w:val="20"/>
                <w:szCs w:val="20"/>
              </w:rPr>
              <w:t>The decision by SSDC to renege on previously agreed in the 2022 SOC</w:t>
            </w:r>
            <w:r w:rsidR="004C04E3">
              <w:rPr>
                <w:rFonts w:ascii="Verdana" w:hAnsi="Verdana" w:cs="Arial"/>
                <w:sz w:val="20"/>
                <w:szCs w:val="20"/>
              </w:rPr>
              <w:t>G</w:t>
            </w:r>
            <w:r w:rsidR="005E5FBD">
              <w:rPr>
                <w:rFonts w:ascii="Verdana" w:hAnsi="Verdana" w:cs="Arial"/>
                <w:sz w:val="20"/>
                <w:szCs w:val="20"/>
              </w:rPr>
              <w:t xml:space="preserve">, resulting in a substantial reduction </w:t>
            </w:r>
            <w:r w:rsidR="00A24B80">
              <w:rPr>
                <w:rFonts w:ascii="Verdana" w:hAnsi="Verdana" w:cs="Arial"/>
                <w:sz w:val="20"/>
                <w:szCs w:val="20"/>
              </w:rPr>
              <w:t xml:space="preserve">in </w:t>
            </w:r>
            <w:r w:rsidR="005E5FBD">
              <w:rPr>
                <w:rFonts w:ascii="Verdana" w:hAnsi="Verdana" w:cs="Arial"/>
                <w:sz w:val="20"/>
                <w:szCs w:val="20"/>
              </w:rPr>
              <w:t xml:space="preserve">the scale of contribution towards the unmet need from the BBCHMA </w:t>
            </w:r>
            <w:r w:rsidR="00A24B80">
              <w:rPr>
                <w:rFonts w:ascii="Verdana" w:hAnsi="Verdana" w:cs="Arial"/>
                <w:sz w:val="20"/>
                <w:szCs w:val="20"/>
              </w:rPr>
              <w:t>(</w:t>
            </w:r>
            <w:r w:rsidR="005E5FBD">
              <w:rPr>
                <w:rFonts w:ascii="Verdana" w:hAnsi="Verdana" w:cs="Arial"/>
                <w:sz w:val="20"/>
                <w:szCs w:val="20"/>
              </w:rPr>
              <w:t>which SSDC accept is increasing</w:t>
            </w:r>
            <w:r w:rsidR="00A24B80">
              <w:rPr>
                <w:rFonts w:ascii="Verdana" w:hAnsi="Verdana" w:cs="Arial"/>
                <w:sz w:val="20"/>
                <w:szCs w:val="20"/>
              </w:rPr>
              <w:t xml:space="preserve">) </w:t>
            </w:r>
            <w:r w:rsidR="004C04E3">
              <w:rPr>
                <w:rFonts w:ascii="Verdana" w:hAnsi="Verdana" w:cs="Arial"/>
                <w:sz w:val="20"/>
                <w:szCs w:val="20"/>
              </w:rPr>
              <w:t xml:space="preserve">at such a late stage in the plan review process </w:t>
            </w:r>
            <w:r w:rsidR="005E5FBD">
              <w:rPr>
                <w:rFonts w:ascii="Verdana" w:hAnsi="Verdana" w:cs="Arial"/>
                <w:sz w:val="20"/>
                <w:szCs w:val="20"/>
              </w:rPr>
              <w:t>does not represent ‘constructive’ engagement as required under the Duty.</w:t>
            </w:r>
          </w:p>
          <w:p w14:paraId="14EDCC02" w14:textId="77777777" w:rsidR="008B0AE8" w:rsidRDefault="008B0AE8" w:rsidP="00D60B25">
            <w:pPr>
              <w:spacing w:line="360" w:lineRule="auto"/>
              <w:rPr>
                <w:rFonts w:ascii="Verdana" w:hAnsi="Verdana" w:cs="Arial"/>
                <w:sz w:val="20"/>
                <w:szCs w:val="20"/>
              </w:rPr>
            </w:pPr>
          </w:p>
          <w:p w14:paraId="322DDDB3" w14:textId="64D33D07" w:rsidR="00AE2F13" w:rsidRPr="002668A2" w:rsidRDefault="008B0AE8" w:rsidP="00D60B25">
            <w:pPr>
              <w:spacing w:line="360" w:lineRule="auto"/>
              <w:rPr>
                <w:rFonts w:ascii="Verdana" w:hAnsi="Verdana" w:cs="Arial"/>
                <w:sz w:val="20"/>
                <w:szCs w:val="20"/>
              </w:rPr>
            </w:pPr>
            <w:r>
              <w:rPr>
                <w:rFonts w:ascii="Verdana" w:hAnsi="Verdana" w:cs="Arial"/>
                <w:sz w:val="20"/>
                <w:szCs w:val="20"/>
              </w:rPr>
              <w:t>On this basis, it cannot be said that engagement to date on addressing the unmet housing need matter has been effective</w:t>
            </w:r>
            <w:r w:rsidR="0075450C">
              <w:rPr>
                <w:rFonts w:ascii="Verdana" w:hAnsi="Verdana" w:cs="Arial"/>
                <w:sz w:val="20"/>
                <w:szCs w:val="20"/>
              </w:rPr>
              <w:t xml:space="preserve"> and undermines the need for a </w:t>
            </w:r>
            <w:r w:rsidR="0075450C" w:rsidRPr="0075450C">
              <w:rPr>
                <w:rFonts w:ascii="Verdana" w:hAnsi="Verdana" w:cs="Arial"/>
                <w:sz w:val="20"/>
                <w:szCs w:val="20"/>
              </w:rPr>
              <w:t>positively prepared and justified strategy</w:t>
            </w:r>
            <w:r>
              <w:rPr>
                <w:rFonts w:ascii="Verdana" w:hAnsi="Verdana" w:cs="Arial"/>
                <w:sz w:val="20"/>
                <w:szCs w:val="20"/>
              </w:rPr>
              <w:t>, contrary to national policy</w:t>
            </w:r>
            <w:r>
              <w:rPr>
                <w:rStyle w:val="FootnoteReference"/>
                <w:rFonts w:ascii="Verdana" w:hAnsi="Verdana" w:cs="Arial"/>
                <w:sz w:val="20"/>
                <w:szCs w:val="20"/>
              </w:rPr>
              <w:footnoteReference w:id="2"/>
            </w:r>
            <w:r>
              <w:rPr>
                <w:rFonts w:ascii="Verdana" w:hAnsi="Verdana" w:cs="Arial"/>
                <w:sz w:val="20"/>
                <w:szCs w:val="20"/>
              </w:rPr>
              <w:t xml:space="preserve">. </w:t>
            </w:r>
            <w:r w:rsidR="0075450C">
              <w:rPr>
                <w:rFonts w:ascii="Verdana" w:hAnsi="Verdana" w:cs="Arial"/>
                <w:sz w:val="20"/>
                <w:szCs w:val="20"/>
              </w:rPr>
              <w:t>The approach to addressing unmet housing need is not soundly-based and does not meet the duty</w:t>
            </w:r>
            <w:r w:rsidR="007B5609">
              <w:rPr>
                <w:rFonts w:ascii="Verdana" w:hAnsi="Verdana" w:cs="Arial"/>
                <w:sz w:val="20"/>
                <w:szCs w:val="20"/>
              </w:rPr>
              <w:t xml:space="preserve"> to cooperate</w:t>
            </w:r>
            <w:r w:rsidR="0075450C">
              <w:rPr>
                <w:rFonts w:ascii="Verdana" w:hAnsi="Verdana" w:cs="Arial"/>
                <w:sz w:val="20"/>
                <w:szCs w:val="20"/>
              </w:rPr>
              <w:t>.</w:t>
            </w:r>
          </w:p>
          <w:p w14:paraId="249ED9FF" w14:textId="77777777" w:rsidR="00AE2F13" w:rsidRDefault="00AE2F13" w:rsidP="00D60B25">
            <w:pPr>
              <w:spacing w:line="360" w:lineRule="auto"/>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6BB5059D" w:rsidR="00AE2F13" w:rsidRDefault="0075450C" w:rsidP="00D60B25">
            <w:pPr>
              <w:spacing w:line="360" w:lineRule="auto"/>
              <w:rPr>
                <w:rFonts w:ascii="Verdana" w:hAnsi="Verdana" w:cs="Arial"/>
                <w:sz w:val="20"/>
              </w:rPr>
            </w:pPr>
            <w:r>
              <w:rPr>
                <w:rFonts w:ascii="Verdana" w:hAnsi="Verdana" w:cs="Arial"/>
                <w:sz w:val="20"/>
              </w:rPr>
              <w:t xml:space="preserve">The issues set out above cannot be addressed through main modifications. If the Inspector agrees with this, the second Reg 19 Plan must be withdrawn and return to the Reg 18 stage.  </w:t>
            </w:r>
          </w:p>
          <w:p w14:paraId="22DEF707"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191D43BE" w:rsidR="00AE2F13" w:rsidRDefault="0075450C" w:rsidP="00644675">
            <w:pPr>
              <w:rPr>
                <w:rFonts w:ascii="Verdana" w:hAnsi="Verdana" w:cs="Arial"/>
                <w:sz w:val="20"/>
              </w:rPr>
            </w:pPr>
            <w:r>
              <w:rPr>
                <w:rFonts w:ascii="Verdana" w:hAnsi="Verdana" w:cs="Arial"/>
                <w:sz w:val="20"/>
              </w:rPr>
              <w:sym w:font="Wingdings" w:char="F0FC"/>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25BDFDF" w14:textId="45FF52E9" w:rsidR="00AE2F13" w:rsidRDefault="007B5609" w:rsidP="00D60B25">
            <w:pPr>
              <w:spacing w:line="360" w:lineRule="auto"/>
              <w:rPr>
                <w:rFonts w:ascii="Verdana" w:hAnsi="Verdana" w:cs="Arial"/>
                <w:sz w:val="20"/>
              </w:rPr>
            </w:pPr>
            <w:r w:rsidRPr="007B5609">
              <w:rPr>
                <w:rFonts w:ascii="Verdana" w:hAnsi="Verdana" w:cs="Arial"/>
                <w:sz w:val="20"/>
              </w:rPr>
              <w:t>To properly represent our client’s interests and contribute towards the oral discussions and issues raised at the examination</w:t>
            </w: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10"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11"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22B0" w14:textId="77777777" w:rsidR="00B11BB9" w:rsidRDefault="00B11BB9" w:rsidP="00187168">
      <w:r>
        <w:separator/>
      </w:r>
    </w:p>
  </w:endnote>
  <w:endnote w:type="continuationSeparator" w:id="0">
    <w:p w14:paraId="1148589F" w14:textId="77777777" w:rsidR="00B11BB9" w:rsidRDefault="00B11BB9"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89C9" w14:textId="77777777" w:rsidR="00B11BB9" w:rsidRDefault="00B11BB9" w:rsidP="00187168">
      <w:r>
        <w:separator/>
      </w:r>
    </w:p>
  </w:footnote>
  <w:footnote w:type="continuationSeparator" w:id="0">
    <w:p w14:paraId="5BE025DD" w14:textId="77777777" w:rsidR="00B11BB9" w:rsidRDefault="00B11BB9" w:rsidP="00187168">
      <w:r>
        <w:continuationSeparator/>
      </w:r>
    </w:p>
  </w:footnote>
  <w:footnote w:id="1">
    <w:p w14:paraId="280E68E7" w14:textId="41CEC848" w:rsidR="000558FC" w:rsidRDefault="000558FC">
      <w:pPr>
        <w:pStyle w:val="FootnoteText"/>
      </w:pPr>
      <w:r>
        <w:rPr>
          <w:rStyle w:val="FootnoteReference"/>
        </w:rPr>
        <w:footnoteRef/>
      </w:r>
      <w:r>
        <w:t xml:space="preserve"> Under </w:t>
      </w:r>
      <w:r w:rsidRPr="000558FC">
        <w:t>Section 110 of the Localism Act</w:t>
      </w:r>
    </w:p>
  </w:footnote>
  <w:footnote w:id="2">
    <w:p w14:paraId="37A8C11C" w14:textId="08CEE67B" w:rsidR="008B0AE8" w:rsidRDefault="008B0AE8">
      <w:pPr>
        <w:pStyle w:val="FootnoteText"/>
      </w:pPr>
      <w:r>
        <w:rPr>
          <w:rStyle w:val="FootnoteReference"/>
        </w:rPr>
        <w:footnoteRef/>
      </w:r>
      <w:r>
        <w:t xml:space="preserve"> NPPF 2023 para </w:t>
      </w:r>
      <w:r w:rsidR="0075450C">
        <w:t xml:space="preserve">26 and </w:t>
      </w:r>
      <w:r>
        <w:t>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4FE7"/>
    <w:multiLevelType w:val="hybridMultilevel"/>
    <w:tmpl w:val="155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94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558FC"/>
    <w:rsid w:val="0008110A"/>
    <w:rsid w:val="000C30A9"/>
    <w:rsid w:val="00187168"/>
    <w:rsid w:val="001A56C9"/>
    <w:rsid w:val="001D64C1"/>
    <w:rsid w:val="002668A2"/>
    <w:rsid w:val="0034447A"/>
    <w:rsid w:val="004921AF"/>
    <w:rsid w:val="004C04E3"/>
    <w:rsid w:val="004E3558"/>
    <w:rsid w:val="005375FE"/>
    <w:rsid w:val="005E5FBD"/>
    <w:rsid w:val="006E4EE9"/>
    <w:rsid w:val="0075450C"/>
    <w:rsid w:val="00792C16"/>
    <w:rsid w:val="007B5609"/>
    <w:rsid w:val="007C0CDB"/>
    <w:rsid w:val="007D686D"/>
    <w:rsid w:val="00822BBA"/>
    <w:rsid w:val="0084033A"/>
    <w:rsid w:val="008B0AE8"/>
    <w:rsid w:val="008C307D"/>
    <w:rsid w:val="009107B9"/>
    <w:rsid w:val="00965C10"/>
    <w:rsid w:val="00A24B80"/>
    <w:rsid w:val="00A33378"/>
    <w:rsid w:val="00A406D5"/>
    <w:rsid w:val="00A80655"/>
    <w:rsid w:val="00A951E1"/>
    <w:rsid w:val="00AC5894"/>
    <w:rsid w:val="00AE2F13"/>
    <w:rsid w:val="00B11BB9"/>
    <w:rsid w:val="00B46F95"/>
    <w:rsid w:val="00B77C2F"/>
    <w:rsid w:val="00C34465"/>
    <w:rsid w:val="00C70533"/>
    <w:rsid w:val="00C96CB2"/>
    <w:rsid w:val="00CE73E4"/>
    <w:rsid w:val="00D01F8C"/>
    <w:rsid w:val="00D43844"/>
    <w:rsid w:val="00D46882"/>
    <w:rsid w:val="00D60B25"/>
    <w:rsid w:val="00D82C80"/>
    <w:rsid w:val="00D95BD6"/>
    <w:rsid w:val="00E15E93"/>
    <w:rsid w:val="00E30A9E"/>
    <w:rsid w:val="00EB3A6C"/>
    <w:rsid w:val="00F25DA0"/>
    <w:rsid w:val="00F3197C"/>
    <w:rsid w:val="00F3774D"/>
    <w:rsid w:val="00F721CD"/>
    <w:rsid w:val="00FC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FootnoteText">
    <w:name w:val="footnote text"/>
    <w:basedOn w:val="Normal"/>
    <w:link w:val="FootnoteTextChar"/>
    <w:uiPriority w:val="99"/>
    <w:semiHidden/>
    <w:unhideWhenUsed/>
    <w:rsid w:val="000558FC"/>
    <w:rPr>
      <w:sz w:val="20"/>
      <w:szCs w:val="20"/>
    </w:rPr>
  </w:style>
  <w:style w:type="character" w:customStyle="1" w:styleId="FootnoteTextChar">
    <w:name w:val="Footnote Text Char"/>
    <w:basedOn w:val="DefaultParagraphFont"/>
    <w:link w:val="FootnoteText"/>
    <w:uiPriority w:val="99"/>
    <w:semiHidden/>
    <w:rsid w:val="000558F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558FC"/>
    <w:rPr>
      <w:vertAlign w:val="superscript"/>
    </w:rPr>
  </w:style>
  <w:style w:type="paragraph" w:styleId="ListParagraph">
    <w:name w:val="List Paragraph"/>
    <w:basedOn w:val="Normal"/>
    <w:uiPriority w:val="34"/>
    <w:qFormat/>
    <w:rsid w:val="00D46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calplans@sstaffs.gov.uk" TargetMode="External"/><Relationship Id="rId5" Type="http://schemas.openxmlformats.org/officeDocument/2006/relationships/webSettings" Target="webSettings.xml"/><Relationship Id="rId10" Type="http://schemas.openxmlformats.org/officeDocument/2006/relationships/hyperlink" Target="https://www.sstaffs.gov.uk/planning/strategic-planning--data-protection.cfm" TargetMode="External"/><Relationship Id="rId4" Type="http://schemas.openxmlformats.org/officeDocument/2006/relationships/settings" Target="settings.xml"/><Relationship Id="rId9" Type="http://schemas.openxmlformats.org/officeDocument/2006/relationships/hyperlink" Target="mailto:Paul.hill@rps.tetrate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5C4B-62D0-465B-9584-CE616342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4</cp:revision>
  <dcterms:created xsi:type="dcterms:W3CDTF">2024-05-22T10:17:00Z</dcterms:created>
  <dcterms:modified xsi:type="dcterms:W3CDTF">2024-05-24T09:21:00Z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